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C15E46" w14:textId="2D5766CF" w:rsidR="009A1C5E" w:rsidRPr="00FC07D5" w:rsidRDefault="009A1C5E" w:rsidP="00E04BB1">
      <w:pPr>
        <w:adjustRightInd w:val="0"/>
        <w:snapToGrid w:val="0"/>
        <w:ind w:firstLine="422"/>
        <w:jc w:val="center"/>
        <w:rPr>
          <w:b/>
          <w:bCs/>
          <w:lang w:val="en-GB"/>
        </w:rPr>
      </w:pPr>
      <w:r w:rsidRPr="00FC07D5">
        <w:rPr>
          <w:b/>
          <w:bCs/>
          <w:lang w:val="en-GB"/>
        </w:rPr>
        <w:t>Supplementary Material</w:t>
      </w:r>
    </w:p>
    <w:p w14:paraId="0D0FD776" w14:textId="77777777" w:rsidR="009A1C5E" w:rsidRPr="00FC07D5" w:rsidRDefault="009A1C5E" w:rsidP="00E04BB1">
      <w:pPr>
        <w:adjustRightInd w:val="0"/>
        <w:snapToGrid w:val="0"/>
        <w:ind w:firstLine="422"/>
        <w:jc w:val="center"/>
        <w:rPr>
          <w:b/>
          <w:bCs/>
          <w:lang w:val="en-GB"/>
        </w:rPr>
      </w:pPr>
    </w:p>
    <w:p w14:paraId="55938190" w14:textId="4FF57510" w:rsidR="009A1C5E" w:rsidRPr="00FC07D5" w:rsidRDefault="009A1C5E" w:rsidP="00C71C7E">
      <w:pPr>
        <w:adjustRightInd w:val="0"/>
        <w:snapToGrid w:val="0"/>
        <w:ind w:firstLineChars="0" w:firstLine="0"/>
        <w:jc w:val="center"/>
        <w:rPr>
          <w:bCs/>
          <w:lang w:val="en-GB"/>
        </w:rPr>
      </w:pPr>
    </w:p>
    <w:p w14:paraId="14F4F006" w14:textId="2901765D" w:rsidR="0031693E" w:rsidRDefault="00400A62" w:rsidP="00E04BB1">
      <w:pPr>
        <w:pStyle w:val="af8"/>
        <w:adjustRightInd w:val="0"/>
        <w:snapToGrid w:val="0"/>
        <w:rPr>
          <w:rFonts w:eastAsia="等线"/>
          <w:noProof/>
          <w:lang w:val="en-GB"/>
        </w:rPr>
      </w:pPr>
      <w:r w:rsidRPr="006738A4">
        <w:rPr>
          <w:b/>
          <w:lang w:val="en-GB"/>
        </w:rPr>
        <w:t xml:space="preserve">Supplementary Fig. 1. QFR results in screened patients. </w:t>
      </w:r>
      <w:r w:rsidRPr="006738A4">
        <w:rPr>
          <w:lang w:val="en-GB"/>
        </w:rPr>
        <w:t>(S1a) Case 1. The anatomic SYNTAX score was 39.5.</w:t>
      </w:r>
      <w:r w:rsidRPr="00FC07D5">
        <w:rPr>
          <w:lang w:val="en-GB"/>
        </w:rPr>
        <w:t xml:space="preserve"> Vessel QFRs of right coronary artery (RCA) and left anterior descending artery (LAD) were 0.64 and 0.47, respectively. There was a total occlusion of left circumflex artery (LCX). According to the results of QFR, the functional SYNTAX score was the same as the anatomic SYNTAX score (39.5). Anatomic syntax points for each vessel are shown in the figures highlighted in yellow. Although the patient had an anatomic SYNTAX score greater than 22, the patient underwent percutaneous coronary intervention (PCI)</w:t>
      </w:r>
      <w:r>
        <w:rPr>
          <w:lang w:val="en-GB"/>
        </w:rPr>
        <w:t xml:space="preserve">. </w:t>
      </w:r>
      <w:r w:rsidRPr="00FC07D5">
        <w:rPr>
          <w:lang w:val="en-GB"/>
        </w:rPr>
        <w:t>(S1b) Case 2. The anatomic SYNTAX score was 15. Vessel QFRs of RCA, LAD, and LCX were 0.62, 0.51, and 0.90, respectively. According to the results of QFR, the functional SYNTAX score was calculated as 12 since the lesion in the circumflex did not need to be revascularized. The patient could have been treated by PCI, but actually the three vessels were bypass grafted (CABG).</w:t>
      </w:r>
      <w:r w:rsidR="0031693E" w:rsidRPr="0031693E">
        <w:rPr>
          <w:noProof/>
          <w:lang w:val="en-GB"/>
        </w:rPr>
        <w:t xml:space="preserve"> </w:t>
      </w:r>
    </w:p>
    <w:p w14:paraId="38269498" w14:textId="77777777" w:rsidR="008D6DBB" w:rsidRPr="008D6DBB" w:rsidRDefault="008D6DBB" w:rsidP="00E04BB1">
      <w:pPr>
        <w:pStyle w:val="af8"/>
        <w:adjustRightInd w:val="0"/>
        <w:snapToGrid w:val="0"/>
        <w:rPr>
          <w:rFonts w:eastAsia="等线" w:hint="eastAsia"/>
          <w:noProof/>
          <w:lang w:val="en-GB"/>
        </w:rPr>
      </w:pPr>
      <w:bookmarkStart w:id="0" w:name="_GoBack"/>
      <w:bookmarkEnd w:id="0"/>
    </w:p>
    <w:p w14:paraId="7739E6CA" w14:textId="1D5B5000" w:rsidR="009A1C5E" w:rsidRPr="00FC07D5" w:rsidRDefault="0031693E" w:rsidP="006738A4">
      <w:pPr>
        <w:pStyle w:val="af8"/>
        <w:adjustRightInd w:val="0"/>
        <w:snapToGrid w:val="0"/>
        <w:jc w:val="center"/>
        <w:rPr>
          <w:lang w:val="en-GB"/>
        </w:rPr>
      </w:pPr>
      <w:r>
        <w:rPr>
          <w:noProof/>
        </w:rPr>
        <w:drawing>
          <wp:inline distT="0" distB="0" distL="0" distR="0" wp14:anchorId="5318E292" wp14:editId="2E96D576">
            <wp:extent cx="4966970" cy="3683225"/>
            <wp:effectExtent l="0" t="0" r="0" b="0"/>
            <wp:docPr id="6" name="Picture 6"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websit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58642" cy="3751204"/>
                    </a:xfrm>
                    <a:prstGeom prst="rect">
                      <a:avLst/>
                    </a:prstGeom>
                  </pic:spPr>
                </pic:pic>
              </a:graphicData>
            </a:graphic>
          </wp:inline>
        </w:drawing>
      </w:r>
      <w:r>
        <w:rPr>
          <w:noProof/>
        </w:rPr>
        <w:drawing>
          <wp:inline distT="0" distB="0" distL="0" distR="0" wp14:anchorId="3A62361C" wp14:editId="11D6DE4C">
            <wp:extent cx="4967162" cy="3657600"/>
            <wp:effectExtent l="0" t="0" r="0" b="0"/>
            <wp:docPr id="7" name="Picture 7"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websit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86469" cy="3745452"/>
                    </a:xfrm>
                    <a:prstGeom prst="rect">
                      <a:avLst/>
                    </a:prstGeom>
                  </pic:spPr>
                </pic:pic>
              </a:graphicData>
            </a:graphic>
          </wp:inline>
        </w:drawing>
      </w:r>
      <w:r w:rsidR="009A1C5E" w:rsidRPr="00FC07D5">
        <w:rPr>
          <w:lang w:val="en-GB"/>
        </w:rPr>
        <w:br w:type="page"/>
      </w:r>
    </w:p>
    <w:p w14:paraId="4E530777" w14:textId="17436C0D" w:rsidR="00B96682" w:rsidRPr="007A658C" w:rsidRDefault="00B96682" w:rsidP="00E04BB1">
      <w:pPr>
        <w:pStyle w:val="2"/>
        <w:adjustRightInd w:val="0"/>
        <w:snapToGrid w:val="0"/>
        <w:spacing w:before="120" w:after="120"/>
        <w:rPr>
          <w:rStyle w:val="Standaardalinea-lettertype"/>
          <w:b w:val="0"/>
          <w:bCs w:val="0"/>
          <w:color w:val="000000" w:themeColor="text1"/>
          <w:sz w:val="21"/>
          <w:lang w:val="en-GB"/>
        </w:rPr>
      </w:pPr>
      <w:r w:rsidRPr="00400A62">
        <w:rPr>
          <w:rStyle w:val="Standaardalinea-lettertype"/>
          <w:color w:val="000000" w:themeColor="text1"/>
          <w:sz w:val="21"/>
          <w:lang w:val="en-GB"/>
        </w:rPr>
        <w:lastRenderedPageBreak/>
        <w:t>Reproducibility of anatomical SYNTAX Score (aSS)</w:t>
      </w:r>
      <w:r w:rsidRPr="007A658C">
        <w:rPr>
          <w:rStyle w:val="Standaardalinea-lettertype"/>
          <w:color w:val="000000" w:themeColor="text1"/>
          <w:sz w:val="21"/>
          <w:lang w:val="en-GB"/>
        </w:rPr>
        <w:t xml:space="preserve"> </w:t>
      </w:r>
    </w:p>
    <w:p w14:paraId="6252417C" w14:textId="4D266046" w:rsidR="00B96682" w:rsidRPr="007A658C" w:rsidRDefault="00B96682" w:rsidP="00E04BB1">
      <w:pPr>
        <w:adjustRightInd w:val="0"/>
        <w:snapToGrid w:val="0"/>
        <w:ind w:firstLine="420"/>
        <w:rPr>
          <w:rStyle w:val="Standaardalinea-lettertype"/>
          <w:color w:val="000000" w:themeColor="text1"/>
          <w:lang w:val="en-GB"/>
        </w:rPr>
      </w:pPr>
      <w:r w:rsidRPr="007A658C">
        <w:rPr>
          <w:rStyle w:val="Standaardalinea-lettertype"/>
          <w:color w:val="000000" w:themeColor="text1"/>
          <w:lang w:val="en-GB"/>
        </w:rPr>
        <w:t xml:space="preserve">The aSS is a major component of the SS-II and SS-2020, however, its calculation is subject to intra-and inter-observer variability. Serruys </w:t>
      </w:r>
      <w:r w:rsidRPr="00C20DC0">
        <w:rPr>
          <w:rStyle w:val="Standaardalinea-lettertype"/>
          <w:i/>
          <w:iCs/>
          <w:color w:val="000000" w:themeColor="text1"/>
          <w:lang w:val="en-GB"/>
        </w:rPr>
        <w:t>et al</w:t>
      </w:r>
      <w:r w:rsidRPr="007A658C">
        <w:rPr>
          <w:rStyle w:val="Standaardalinea-lettertype"/>
          <w:color w:val="000000" w:themeColor="text1"/>
          <w:lang w:val="en-GB"/>
        </w:rPr>
        <w:t xml:space="preserve">. </w:t>
      </w:r>
      <w:r w:rsidR="00D67B3A">
        <w:rPr>
          <w:rStyle w:val="Standaardalinea-lettertype"/>
          <w:color w:val="000000" w:themeColor="text1"/>
          <w:lang w:val="en-GB"/>
        </w:rPr>
        <w:t xml:space="preserve">[1] </w:t>
      </w:r>
      <w:r w:rsidRPr="007A658C">
        <w:rPr>
          <w:rStyle w:val="Standaardalinea-lettertype"/>
          <w:color w:val="000000" w:themeColor="text1"/>
          <w:lang w:val="en-GB"/>
        </w:rPr>
        <w:t>reported weighted kappa values for inter- and intra-observer reproducibility of the aSS of 0.45 and 0.59, respectively; notably the aSS as calculated by investigators consistently underscored the corelab by 3.4 points</w:t>
      </w:r>
      <w:r w:rsidR="00D67B3A">
        <w:rPr>
          <w:rStyle w:val="Standaardalinea-lettertype"/>
          <w:color w:val="000000" w:themeColor="text1"/>
          <w:lang w:val="en-GB"/>
        </w:rPr>
        <w:t xml:space="preserve">. </w:t>
      </w:r>
      <w:r w:rsidRPr="007A658C">
        <w:rPr>
          <w:rStyle w:val="Standaardalinea-lettertype"/>
          <w:color w:val="000000" w:themeColor="text1"/>
          <w:lang w:val="en-GB"/>
        </w:rPr>
        <w:t xml:space="preserve">Subsequently, </w:t>
      </w:r>
      <w:r w:rsidR="008B57FD" w:rsidRPr="008B57FD">
        <w:rPr>
          <w:rStyle w:val="Standaardalinea-lettertype"/>
          <w:color w:val="000000" w:themeColor="text1"/>
          <w:lang w:val="en-GB"/>
        </w:rPr>
        <w:t>Généreux</w:t>
      </w:r>
      <w:r w:rsidR="008B57FD">
        <w:rPr>
          <w:rStyle w:val="Standaardalinea-lettertype"/>
          <w:color w:val="000000" w:themeColor="text1"/>
          <w:lang w:val="en-GB"/>
        </w:rPr>
        <w:t xml:space="preserve"> </w:t>
      </w:r>
      <w:r w:rsidRPr="00C20DC0">
        <w:rPr>
          <w:rStyle w:val="Standaardalinea-lettertype"/>
          <w:i/>
          <w:iCs/>
          <w:color w:val="000000" w:themeColor="text1"/>
          <w:lang w:val="en-GB"/>
        </w:rPr>
        <w:t>et al</w:t>
      </w:r>
      <w:r w:rsidRPr="007A658C">
        <w:rPr>
          <w:rStyle w:val="Standaardalinea-lettertype"/>
          <w:color w:val="000000" w:themeColor="text1"/>
          <w:lang w:val="en-GB"/>
        </w:rPr>
        <w:t xml:space="preserve"> </w:t>
      </w:r>
      <w:r w:rsidR="00D67B3A">
        <w:rPr>
          <w:rStyle w:val="Standaardalinea-lettertype"/>
          <w:color w:val="000000" w:themeColor="text1"/>
          <w:lang w:val="en-GB"/>
        </w:rPr>
        <w:t xml:space="preserve">[2] </w:t>
      </w:r>
      <w:r w:rsidRPr="007A658C">
        <w:rPr>
          <w:rStyle w:val="Standaardalinea-lettertype"/>
          <w:color w:val="000000" w:themeColor="text1"/>
          <w:lang w:val="en-GB"/>
        </w:rPr>
        <w:t xml:space="preserve">have demonstrated that </w:t>
      </w:r>
      <w:r w:rsidRPr="007A658C">
        <w:rPr>
          <w:rFonts w:eastAsiaTheme="minorEastAsia"/>
          <w:lang w:val="en-GB"/>
        </w:rPr>
        <w:t>highly reprodu</w:t>
      </w:r>
      <w:r w:rsidR="00D67B3A">
        <w:rPr>
          <w:rFonts w:eastAsiaTheme="minorEastAsia"/>
          <w:lang w:val="en-GB"/>
        </w:rPr>
        <w:t>cible SYNTAX score measurements</w:t>
      </w:r>
      <w:r w:rsidRPr="007A658C">
        <w:rPr>
          <w:rFonts w:eastAsiaTheme="minorEastAsia"/>
          <w:lang w:val="en-GB"/>
        </w:rPr>
        <w:t xml:space="preserve"> (Fleiss’ Kappa</w:t>
      </w:r>
      <w:r w:rsidR="00D67B3A">
        <w:rPr>
          <w:rFonts w:eastAsiaTheme="minorEastAsia"/>
          <w:lang w:val="en-GB"/>
        </w:rPr>
        <w:t xml:space="preserve"> </w:t>
      </w:r>
      <w:r w:rsidRPr="007A658C">
        <w:rPr>
          <w:rFonts w:eastAsiaTheme="minorEastAsia"/>
          <w:lang w:val="en-GB"/>
        </w:rPr>
        <w:t>=</w:t>
      </w:r>
      <w:r w:rsidR="00D67B3A">
        <w:rPr>
          <w:rFonts w:eastAsiaTheme="minorEastAsia"/>
          <w:lang w:val="en-GB"/>
        </w:rPr>
        <w:t xml:space="preserve"> </w:t>
      </w:r>
      <w:r w:rsidRPr="007A658C">
        <w:rPr>
          <w:rFonts w:eastAsiaTheme="minorEastAsia"/>
          <w:lang w:val="en-GB"/>
        </w:rPr>
        <w:t>0.84) can be achieved by experienced CL technicians and agreement among interventiona</w:t>
      </w:r>
      <w:r w:rsidR="00D67B3A">
        <w:rPr>
          <w:rFonts w:eastAsiaTheme="minorEastAsia"/>
          <w:lang w:val="en-GB"/>
        </w:rPr>
        <w:t xml:space="preserve">l cardiologist can be improved </w:t>
      </w:r>
      <w:r w:rsidRPr="007A658C">
        <w:rPr>
          <w:rFonts w:eastAsiaTheme="minorEastAsia"/>
          <w:lang w:val="en-GB"/>
        </w:rPr>
        <w:t>(Fleiss’ Kappa =</w:t>
      </w:r>
      <w:r w:rsidR="00D67B3A">
        <w:rPr>
          <w:rFonts w:eastAsiaTheme="minorEastAsia"/>
          <w:lang w:val="en-GB"/>
        </w:rPr>
        <w:t xml:space="preserve"> </w:t>
      </w:r>
      <w:r w:rsidRPr="007A658C">
        <w:rPr>
          <w:rFonts w:eastAsiaTheme="minorEastAsia"/>
          <w:lang w:val="en-GB"/>
        </w:rPr>
        <w:t>0.76) after further training with the CL</w:t>
      </w:r>
      <w:r w:rsidR="00D67B3A">
        <w:rPr>
          <w:rFonts w:eastAsiaTheme="minorEastAsia"/>
          <w:lang w:val="en-GB"/>
        </w:rPr>
        <w:t xml:space="preserve">. </w:t>
      </w:r>
      <w:r w:rsidRPr="007A658C">
        <w:rPr>
          <w:rStyle w:val="Standaardalinea-lettertype"/>
          <w:color w:val="000000" w:themeColor="text1"/>
          <w:lang w:val="en-GB"/>
        </w:rPr>
        <w:t>We have to concede that objective and automated assessment by machine learning of fluoroscopic or CTA would promote fast, accurate and reproducible aSS</w:t>
      </w:r>
      <w:r w:rsidR="00D67B3A">
        <w:rPr>
          <w:rStyle w:val="Standaardalinea-lettertype"/>
          <w:color w:val="000000" w:themeColor="text1"/>
          <w:lang w:val="en-GB"/>
        </w:rPr>
        <w:t xml:space="preserve"> [3].</w:t>
      </w:r>
      <w:r w:rsidRPr="007A658C">
        <w:rPr>
          <w:rStyle w:val="Standaardalinea-lettertype"/>
          <w:color w:val="000000" w:themeColor="text1"/>
          <w:lang w:val="en-GB"/>
        </w:rPr>
        <w:t xml:space="preserve"> </w:t>
      </w:r>
      <w:r w:rsidRPr="007A658C">
        <w:rPr>
          <w:rFonts w:eastAsiaTheme="minorEastAsia"/>
          <w:lang w:val="en-GB"/>
        </w:rPr>
        <w:t>In the current study the aSS was calculated by both sites and the CL, with the mean aSS higher when assessed by the CL than site investigators (24.1</w:t>
      </w:r>
      <w:r w:rsidR="00D67B3A">
        <w:rPr>
          <w:rFonts w:eastAsiaTheme="minorEastAsia"/>
          <w:lang w:val="en-GB"/>
        </w:rPr>
        <w:t xml:space="preserve"> </w:t>
      </w:r>
      <w:r w:rsidRPr="007A658C">
        <w:rPr>
          <w:rFonts w:eastAsiaTheme="minorEastAsia"/>
          <w:lang w:val="en-GB"/>
        </w:rPr>
        <w:t>±</w:t>
      </w:r>
      <w:r w:rsidR="00D67B3A">
        <w:rPr>
          <w:rFonts w:eastAsiaTheme="minorEastAsia"/>
          <w:lang w:val="en-GB"/>
        </w:rPr>
        <w:t xml:space="preserve"> </w:t>
      </w:r>
      <w:r w:rsidRPr="007A658C">
        <w:rPr>
          <w:rFonts w:eastAsiaTheme="minorEastAsia"/>
          <w:lang w:val="en-GB"/>
        </w:rPr>
        <w:t>9.6 vs 22.5</w:t>
      </w:r>
      <w:r w:rsidR="00D67B3A">
        <w:rPr>
          <w:rFonts w:eastAsiaTheme="minorEastAsia"/>
          <w:lang w:val="en-GB"/>
        </w:rPr>
        <w:t xml:space="preserve"> </w:t>
      </w:r>
      <w:r w:rsidRPr="007A658C">
        <w:rPr>
          <w:rFonts w:eastAsiaTheme="minorEastAsia"/>
          <w:lang w:val="en-GB"/>
        </w:rPr>
        <w:t>±</w:t>
      </w:r>
      <w:r w:rsidR="00D67B3A">
        <w:rPr>
          <w:rFonts w:eastAsiaTheme="minorEastAsia"/>
          <w:lang w:val="en-GB"/>
        </w:rPr>
        <w:t xml:space="preserve"> </w:t>
      </w:r>
      <w:r w:rsidRPr="007A658C">
        <w:rPr>
          <w:rFonts w:eastAsiaTheme="minorEastAsia"/>
          <w:lang w:val="en-GB"/>
        </w:rPr>
        <w:t xml:space="preserve">10.2, </w:t>
      </w:r>
      <w:r w:rsidRPr="00D67B3A">
        <w:rPr>
          <w:rFonts w:eastAsiaTheme="minorEastAsia"/>
          <w:i/>
          <w:lang w:val="en-GB"/>
        </w:rPr>
        <w:t>p</w:t>
      </w:r>
      <w:r w:rsidR="00D67B3A">
        <w:rPr>
          <w:rFonts w:eastAsiaTheme="minorEastAsia"/>
          <w:lang w:val="en-GB"/>
        </w:rPr>
        <w:t xml:space="preserve"> </w:t>
      </w:r>
      <w:r w:rsidRPr="007A658C">
        <w:rPr>
          <w:rFonts w:eastAsiaTheme="minorEastAsia"/>
          <w:lang w:val="en-GB"/>
        </w:rPr>
        <w:t>=</w:t>
      </w:r>
      <w:r w:rsidR="00D67B3A">
        <w:rPr>
          <w:rFonts w:eastAsiaTheme="minorEastAsia"/>
          <w:lang w:val="en-GB"/>
        </w:rPr>
        <w:t xml:space="preserve"> </w:t>
      </w:r>
      <w:r w:rsidRPr="007A658C">
        <w:rPr>
          <w:rFonts w:eastAsiaTheme="minorEastAsia"/>
          <w:lang w:val="en-GB"/>
        </w:rPr>
        <w:t>0.018, Supplementary Figure2). However, the agreement of the proportion of patients classified in aSS tertiles (low</w:t>
      </w:r>
      <w:r w:rsidR="00D67B3A">
        <w:rPr>
          <w:rFonts w:eastAsiaTheme="minorEastAsia"/>
          <w:lang w:val="en-GB"/>
        </w:rPr>
        <w:t xml:space="preserve"> </w:t>
      </w:r>
      <w:r w:rsidRPr="007A658C">
        <w:rPr>
          <w:rFonts w:eastAsiaTheme="minorEastAsia"/>
          <w:lang w:val="en-GB"/>
        </w:rPr>
        <w:t>&lt;23, intermediate 23</w:t>
      </w:r>
      <w:r w:rsidR="00D67B3A">
        <w:rPr>
          <w:rFonts w:eastAsiaTheme="minorEastAsia"/>
          <w:lang w:val="en-GB"/>
        </w:rPr>
        <w:t>–</w:t>
      </w:r>
      <w:r w:rsidRPr="007A658C">
        <w:rPr>
          <w:rFonts w:eastAsiaTheme="minorEastAsia"/>
          <w:lang w:val="en-GB"/>
        </w:rPr>
        <w:t>32, and high</w:t>
      </w:r>
      <w:r w:rsidR="00D67B3A">
        <w:rPr>
          <w:rFonts w:eastAsiaTheme="minorEastAsia"/>
          <w:lang w:val="en-GB"/>
        </w:rPr>
        <w:t xml:space="preserve"> </w:t>
      </w:r>
      <w:r w:rsidRPr="007A658C">
        <w:rPr>
          <w:rFonts w:eastAsiaTheme="minorEastAsia"/>
          <w:lang w:val="en-GB"/>
        </w:rPr>
        <w:t>&gt;32) was almost perfect (weighted Kappa</w:t>
      </w:r>
      <w:r w:rsidR="00D67B3A">
        <w:rPr>
          <w:rFonts w:eastAsiaTheme="minorEastAsia"/>
          <w:lang w:val="en-GB"/>
        </w:rPr>
        <w:t xml:space="preserve"> </w:t>
      </w:r>
      <w:r w:rsidRPr="007A658C">
        <w:rPr>
          <w:rFonts w:eastAsiaTheme="minorEastAsia"/>
          <w:lang w:val="en-GB"/>
        </w:rPr>
        <w:t>=</w:t>
      </w:r>
      <w:r w:rsidR="00D67B3A">
        <w:rPr>
          <w:rFonts w:eastAsiaTheme="minorEastAsia"/>
          <w:lang w:val="en-GB"/>
        </w:rPr>
        <w:t xml:space="preserve"> </w:t>
      </w:r>
      <w:r w:rsidRPr="007A658C">
        <w:rPr>
          <w:rFonts w:eastAsiaTheme="minorEastAsia"/>
          <w:lang w:val="en-GB"/>
        </w:rPr>
        <w:t>0.85) (Supplementary Table1). Nevertheless, the level of agreement between the treatment recommendation based on SS-II and SS-2020 and the "on site" heart team treatment were slight.</w:t>
      </w:r>
    </w:p>
    <w:p w14:paraId="036D51CB" w14:textId="77777777" w:rsidR="00B96682" w:rsidRDefault="00B96682" w:rsidP="00E04BB1">
      <w:pPr>
        <w:autoSpaceDE w:val="0"/>
        <w:autoSpaceDN w:val="0"/>
        <w:adjustRightInd w:val="0"/>
        <w:snapToGrid w:val="0"/>
        <w:ind w:firstLine="422"/>
        <w:rPr>
          <w:rStyle w:val="Standaardalinea-lettertype"/>
          <w:b/>
          <w:bCs/>
          <w:lang w:val="en-GB"/>
        </w:rPr>
      </w:pPr>
    </w:p>
    <w:p w14:paraId="33408C4C" w14:textId="4D6A62D8" w:rsidR="00B96682" w:rsidRDefault="0031693E" w:rsidP="006738A4">
      <w:pPr>
        <w:autoSpaceDE w:val="0"/>
        <w:autoSpaceDN w:val="0"/>
        <w:adjustRightInd w:val="0"/>
        <w:snapToGrid w:val="0"/>
        <w:ind w:firstLine="422"/>
        <w:jc w:val="center"/>
        <w:rPr>
          <w:rStyle w:val="Standaardalinea-lettertype"/>
          <w:b/>
          <w:bCs/>
          <w:lang w:val="en-GB"/>
        </w:rPr>
      </w:pPr>
      <w:r>
        <w:rPr>
          <w:b/>
          <w:bCs/>
          <w:noProof/>
        </w:rPr>
        <w:drawing>
          <wp:inline distT="0" distB="0" distL="0" distR="0" wp14:anchorId="055EDD7A" wp14:editId="2FE0B657">
            <wp:extent cx="3949002" cy="2884767"/>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rotWithShape="1">
                    <a:blip r:embed="rId9" cstate="print">
                      <a:extLst>
                        <a:ext uri="{28A0092B-C50C-407E-A947-70E740481C1C}">
                          <a14:useLocalDpi xmlns:a14="http://schemas.microsoft.com/office/drawing/2010/main" val="0"/>
                        </a:ext>
                      </a:extLst>
                    </a:blip>
                    <a:srcRect r="989"/>
                    <a:stretch/>
                  </pic:blipFill>
                  <pic:spPr bwMode="auto">
                    <a:xfrm>
                      <a:off x="0" y="0"/>
                      <a:ext cx="3999786" cy="2921865"/>
                    </a:xfrm>
                    <a:prstGeom prst="rect">
                      <a:avLst/>
                    </a:prstGeom>
                    <a:ln>
                      <a:noFill/>
                    </a:ln>
                    <a:extLst>
                      <a:ext uri="{53640926-AAD7-44D8-BBD7-CCE9431645EC}">
                        <a14:shadowObscured xmlns:a14="http://schemas.microsoft.com/office/drawing/2010/main"/>
                      </a:ext>
                    </a:extLst>
                  </pic:spPr>
                </pic:pic>
              </a:graphicData>
            </a:graphic>
          </wp:inline>
        </w:drawing>
      </w:r>
    </w:p>
    <w:p w14:paraId="642E72A6" w14:textId="4C1D979F" w:rsidR="00400A62" w:rsidRPr="00FC07D5" w:rsidRDefault="00400A62" w:rsidP="00E04BB1">
      <w:pPr>
        <w:pStyle w:val="af8"/>
        <w:adjustRightInd w:val="0"/>
        <w:snapToGrid w:val="0"/>
        <w:rPr>
          <w:lang w:val="en-GB"/>
        </w:rPr>
      </w:pPr>
      <w:r w:rsidRPr="00FC07D5">
        <w:rPr>
          <w:rStyle w:val="Standaardalinea-lettertype"/>
          <w:b/>
          <w:bCs/>
          <w:lang w:val="en-GB"/>
        </w:rPr>
        <w:t>Supplementary Fig</w:t>
      </w:r>
      <w:r>
        <w:rPr>
          <w:rStyle w:val="Standaardalinea-lettertype"/>
          <w:b/>
          <w:bCs/>
          <w:lang w:val="en-GB"/>
        </w:rPr>
        <w:t>.</w:t>
      </w:r>
      <w:r w:rsidRPr="00FC07D5">
        <w:rPr>
          <w:rStyle w:val="Standaardalinea-lettertype"/>
          <w:b/>
          <w:bCs/>
          <w:lang w:val="en-GB"/>
        </w:rPr>
        <w:t xml:space="preserve"> 2. Anatomical SYNTAX Score; Site vs Core laboratory</w:t>
      </w:r>
      <w:r>
        <w:rPr>
          <w:rStyle w:val="Standaardalinea-lettertype"/>
          <w:b/>
          <w:bCs/>
          <w:lang w:val="en-GB"/>
        </w:rPr>
        <w:t xml:space="preserve">. </w:t>
      </w:r>
      <w:r w:rsidRPr="00FC07D5">
        <w:rPr>
          <w:lang w:val="en-GB"/>
        </w:rPr>
        <w:t>In 151 out of 200 patients, Anatomical SYNTAX Score (aSS) was calculated by both sites and core laboratory. The mean aSS was higher when assessed by CL than by site investigators (24.1</w:t>
      </w:r>
      <w:r>
        <w:rPr>
          <w:lang w:val="en-GB"/>
        </w:rPr>
        <w:t xml:space="preserve"> </w:t>
      </w:r>
      <w:r w:rsidRPr="00FC07D5">
        <w:rPr>
          <w:lang w:val="en-GB"/>
        </w:rPr>
        <w:t>±</w:t>
      </w:r>
      <w:r>
        <w:rPr>
          <w:lang w:val="en-GB"/>
        </w:rPr>
        <w:t xml:space="preserve"> </w:t>
      </w:r>
      <w:r w:rsidRPr="00FC07D5">
        <w:rPr>
          <w:lang w:val="en-GB"/>
        </w:rPr>
        <w:t>9.6 vs 22.5</w:t>
      </w:r>
      <w:r>
        <w:rPr>
          <w:lang w:val="en-GB"/>
        </w:rPr>
        <w:t xml:space="preserve"> </w:t>
      </w:r>
      <w:r w:rsidRPr="00FC07D5">
        <w:rPr>
          <w:lang w:val="en-GB"/>
        </w:rPr>
        <w:t>±</w:t>
      </w:r>
      <w:r>
        <w:rPr>
          <w:lang w:val="en-GB"/>
        </w:rPr>
        <w:t xml:space="preserve"> </w:t>
      </w:r>
      <w:r w:rsidRPr="00FC07D5">
        <w:rPr>
          <w:lang w:val="en-GB"/>
        </w:rPr>
        <w:t xml:space="preserve">10.2, </w:t>
      </w:r>
      <w:r w:rsidRPr="00D67B3A">
        <w:rPr>
          <w:i/>
          <w:lang w:val="en-GB"/>
        </w:rPr>
        <w:t>p</w:t>
      </w:r>
      <w:r>
        <w:rPr>
          <w:lang w:val="en-GB"/>
        </w:rPr>
        <w:t xml:space="preserve"> </w:t>
      </w:r>
      <w:r w:rsidRPr="00FC07D5">
        <w:rPr>
          <w:lang w:val="en-GB"/>
        </w:rPr>
        <w:t>=</w:t>
      </w:r>
      <w:r>
        <w:rPr>
          <w:lang w:val="en-GB"/>
        </w:rPr>
        <w:t xml:space="preserve"> </w:t>
      </w:r>
      <w:r w:rsidRPr="00FC07D5">
        <w:rPr>
          <w:lang w:val="en-GB"/>
        </w:rPr>
        <w:t>0.014).</w:t>
      </w:r>
    </w:p>
    <w:p w14:paraId="1FCC8872" w14:textId="77777777" w:rsidR="00FC70BE" w:rsidRDefault="00FC70BE" w:rsidP="002A7D2F">
      <w:pPr>
        <w:ind w:firstLine="420"/>
        <w:rPr>
          <w:rFonts w:eastAsia="等线"/>
          <w:lang w:val="en-GB"/>
        </w:rPr>
      </w:pPr>
    </w:p>
    <w:p w14:paraId="2CEBCE47" w14:textId="412BECE2" w:rsidR="00FC70BE" w:rsidRDefault="00FC70BE" w:rsidP="002A7D2F">
      <w:pPr>
        <w:ind w:firstLine="420"/>
        <w:rPr>
          <w:lang w:val="en-GB"/>
        </w:rPr>
      </w:pPr>
    </w:p>
    <w:p w14:paraId="3C97D590" w14:textId="7F66FC0F" w:rsidR="009A1C5E" w:rsidRDefault="009A1C5E" w:rsidP="00FC70BE">
      <w:pPr>
        <w:pStyle w:val="a9"/>
        <w:rPr>
          <w:lang w:val="en-GB"/>
        </w:rPr>
      </w:pPr>
      <w:r w:rsidRPr="00FC07D5">
        <w:rPr>
          <w:lang w:val="en-GB"/>
        </w:rPr>
        <w:t>Supplementary Table 1. Comparison of risk stratification by sites and core laboratory</w:t>
      </w:r>
      <w:r w:rsidR="006738A4">
        <w:rPr>
          <w:lang w:val="en-GB"/>
        </w:rPr>
        <w:t>.</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tblCellMar>
        <w:tblLook w:val="04A0" w:firstRow="1" w:lastRow="0" w:firstColumn="1" w:lastColumn="0" w:noHBand="0" w:noVBand="1"/>
      </w:tblPr>
      <w:tblGrid>
        <w:gridCol w:w="1134"/>
        <w:gridCol w:w="1797"/>
        <w:gridCol w:w="1657"/>
        <w:gridCol w:w="1797"/>
        <w:gridCol w:w="1477"/>
        <w:gridCol w:w="798"/>
      </w:tblGrid>
      <w:tr w:rsidR="006738A4" w:rsidRPr="007508B0" w14:paraId="6BD1016F" w14:textId="77777777" w:rsidTr="006738A4">
        <w:trPr>
          <w:trHeight w:val="320"/>
          <w:jc w:val="center"/>
        </w:trPr>
        <w:tc>
          <w:tcPr>
            <w:tcW w:w="8660" w:type="dxa"/>
            <w:gridSpan w:val="6"/>
            <w:shd w:val="clear" w:color="auto" w:fill="auto"/>
            <w:noWrap/>
            <w:vAlign w:val="center"/>
            <w:hideMark/>
          </w:tcPr>
          <w:p w14:paraId="59354626" w14:textId="77777777" w:rsidR="006738A4" w:rsidRPr="007508B0" w:rsidRDefault="006738A4" w:rsidP="007508B0">
            <w:pPr>
              <w:widowControl/>
              <w:ind w:firstLineChars="0" w:firstLine="0"/>
              <w:jc w:val="center"/>
              <w:rPr>
                <w:b/>
                <w:bCs/>
                <w:color w:val="000000"/>
                <w:kern w:val="0"/>
                <w:lang w:val="en-IE" w:eastAsia="ja-JP"/>
              </w:rPr>
            </w:pPr>
            <w:r w:rsidRPr="007508B0">
              <w:rPr>
                <w:b/>
                <w:bCs/>
                <w:color w:val="000000"/>
                <w:kern w:val="0"/>
                <w:lang w:val="en-IE" w:eastAsia="ja-JP"/>
              </w:rPr>
              <w:t>Anatomical SYNTAX Score (aSS) assessed by Site vs Core laboratory (CL)</w:t>
            </w:r>
          </w:p>
        </w:tc>
      </w:tr>
      <w:tr w:rsidR="006738A4" w:rsidRPr="007508B0" w14:paraId="28720D70" w14:textId="77777777" w:rsidTr="006738A4">
        <w:trPr>
          <w:trHeight w:val="360"/>
          <w:jc w:val="center"/>
        </w:trPr>
        <w:tc>
          <w:tcPr>
            <w:tcW w:w="1134" w:type="dxa"/>
            <w:shd w:val="clear" w:color="auto" w:fill="auto"/>
            <w:noWrap/>
            <w:vAlign w:val="center"/>
            <w:hideMark/>
          </w:tcPr>
          <w:p w14:paraId="4C30F32A" w14:textId="6AAC3C39" w:rsidR="006738A4" w:rsidRPr="007508B0" w:rsidRDefault="006738A4" w:rsidP="007508B0">
            <w:pPr>
              <w:widowControl/>
              <w:ind w:firstLineChars="0" w:firstLine="0"/>
              <w:jc w:val="center"/>
              <w:rPr>
                <w:color w:val="000000"/>
                <w:kern w:val="0"/>
                <w:lang w:val="en-IE" w:eastAsia="ja-JP"/>
              </w:rPr>
            </w:pPr>
          </w:p>
        </w:tc>
        <w:tc>
          <w:tcPr>
            <w:tcW w:w="1797" w:type="dxa"/>
            <w:shd w:val="clear" w:color="auto" w:fill="auto"/>
            <w:noWrap/>
            <w:vAlign w:val="center"/>
            <w:hideMark/>
          </w:tcPr>
          <w:p w14:paraId="0CED6535" w14:textId="70794585" w:rsidR="006738A4" w:rsidRPr="007508B0" w:rsidRDefault="006738A4" w:rsidP="007508B0">
            <w:pPr>
              <w:widowControl/>
              <w:ind w:firstLineChars="0" w:firstLine="0"/>
              <w:jc w:val="center"/>
              <w:rPr>
                <w:color w:val="000000"/>
                <w:kern w:val="0"/>
                <w:lang w:val="en-IE" w:eastAsia="ja-JP"/>
              </w:rPr>
            </w:pPr>
          </w:p>
        </w:tc>
        <w:tc>
          <w:tcPr>
            <w:tcW w:w="4931" w:type="dxa"/>
            <w:gridSpan w:val="3"/>
            <w:shd w:val="clear" w:color="auto" w:fill="auto"/>
            <w:noWrap/>
            <w:vAlign w:val="center"/>
            <w:hideMark/>
          </w:tcPr>
          <w:p w14:paraId="0A5058A8"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CL aSS</w:t>
            </w:r>
          </w:p>
        </w:tc>
        <w:tc>
          <w:tcPr>
            <w:tcW w:w="798" w:type="dxa"/>
            <w:shd w:val="clear" w:color="auto" w:fill="auto"/>
            <w:noWrap/>
            <w:vAlign w:val="center"/>
            <w:hideMark/>
          </w:tcPr>
          <w:p w14:paraId="4765D390" w14:textId="4498D285" w:rsidR="006738A4" w:rsidRPr="007508B0" w:rsidRDefault="006738A4" w:rsidP="007508B0">
            <w:pPr>
              <w:widowControl/>
              <w:ind w:firstLineChars="0" w:firstLine="0"/>
              <w:jc w:val="center"/>
              <w:rPr>
                <w:color w:val="000000"/>
                <w:kern w:val="0"/>
                <w:lang w:val="en-IE" w:eastAsia="ja-JP"/>
              </w:rPr>
            </w:pPr>
          </w:p>
        </w:tc>
      </w:tr>
      <w:tr w:rsidR="006738A4" w:rsidRPr="007508B0" w14:paraId="0250AFBB" w14:textId="77777777" w:rsidTr="006738A4">
        <w:trPr>
          <w:trHeight w:val="360"/>
          <w:jc w:val="center"/>
        </w:trPr>
        <w:tc>
          <w:tcPr>
            <w:tcW w:w="1134" w:type="dxa"/>
            <w:shd w:val="clear" w:color="auto" w:fill="auto"/>
            <w:noWrap/>
            <w:vAlign w:val="center"/>
            <w:hideMark/>
          </w:tcPr>
          <w:p w14:paraId="3A7A3829" w14:textId="511A44EC" w:rsidR="006738A4" w:rsidRPr="007508B0" w:rsidRDefault="006738A4" w:rsidP="007508B0">
            <w:pPr>
              <w:widowControl/>
              <w:ind w:firstLineChars="0" w:firstLine="0"/>
              <w:jc w:val="center"/>
              <w:rPr>
                <w:color w:val="000000"/>
                <w:kern w:val="0"/>
                <w:lang w:val="en-IE" w:eastAsia="ja-JP"/>
              </w:rPr>
            </w:pPr>
          </w:p>
        </w:tc>
        <w:tc>
          <w:tcPr>
            <w:tcW w:w="1797" w:type="dxa"/>
            <w:shd w:val="clear" w:color="auto" w:fill="auto"/>
            <w:noWrap/>
            <w:vAlign w:val="center"/>
            <w:hideMark/>
          </w:tcPr>
          <w:p w14:paraId="7DC958C1" w14:textId="2C84D834" w:rsidR="006738A4" w:rsidRPr="007508B0" w:rsidRDefault="006738A4" w:rsidP="007508B0">
            <w:pPr>
              <w:widowControl/>
              <w:ind w:firstLineChars="0" w:firstLine="0"/>
              <w:jc w:val="center"/>
              <w:rPr>
                <w:color w:val="000000"/>
                <w:kern w:val="0"/>
                <w:lang w:val="en-IE" w:eastAsia="ja-JP"/>
              </w:rPr>
            </w:pPr>
          </w:p>
        </w:tc>
        <w:tc>
          <w:tcPr>
            <w:tcW w:w="1657" w:type="dxa"/>
            <w:shd w:val="clear" w:color="auto" w:fill="auto"/>
            <w:noWrap/>
            <w:vAlign w:val="center"/>
            <w:hideMark/>
          </w:tcPr>
          <w:p w14:paraId="305ED87A"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Low</w:t>
            </w:r>
          </w:p>
        </w:tc>
        <w:tc>
          <w:tcPr>
            <w:tcW w:w="1797" w:type="dxa"/>
            <w:shd w:val="clear" w:color="auto" w:fill="auto"/>
            <w:noWrap/>
            <w:vAlign w:val="center"/>
            <w:hideMark/>
          </w:tcPr>
          <w:p w14:paraId="41A39D9B"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Intermidiate</w:t>
            </w:r>
          </w:p>
        </w:tc>
        <w:tc>
          <w:tcPr>
            <w:tcW w:w="1477" w:type="dxa"/>
            <w:shd w:val="clear" w:color="auto" w:fill="auto"/>
            <w:noWrap/>
            <w:vAlign w:val="center"/>
            <w:hideMark/>
          </w:tcPr>
          <w:p w14:paraId="3CE2229E"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High</w:t>
            </w:r>
          </w:p>
        </w:tc>
        <w:tc>
          <w:tcPr>
            <w:tcW w:w="798" w:type="dxa"/>
            <w:shd w:val="clear" w:color="auto" w:fill="auto"/>
            <w:noWrap/>
            <w:vAlign w:val="center"/>
            <w:hideMark/>
          </w:tcPr>
          <w:p w14:paraId="4A56E309"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Total</w:t>
            </w:r>
          </w:p>
        </w:tc>
      </w:tr>
      <w:tr w:rsidR="006738A4" w:rsidRPr="007508B0" w14:paraId="7373DCC9" w14:textId="77777777" w:rsidTr="006738A4">
        <w:trPr>
          <w:trHeight w:val="360"/>
          <w:jc w:val="center"/>
        </w:trPr>
        <w:tc>
          <w:tcPr>
            <w:tcW w:w="1134" w:type="dxa"/>
            <w:vMerge w:val="restart"/>
            <w:shd w:val="clear" w:color="auto" w:fill="auto"/>
            <w:vAlign w:val="center"/>
            <w:hideMark/>
          </w:tcPr>
          <w:p w14:paraId="6C725C24"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Site</w:t>
            </w:r>
            <w:r w:rsidRPr="007508B0">
              <w:rPr>
                <w:color w:val="000000"/>
                <w:kern w:val="0"/>
                <w:lang w:val="en-IE" w:eastAsia="ja-JP"/>
              </w:rPr>
              <w:br/>
              <w:t>aSS</w:t>
            </w:r>
          </w:p>
        </w:tc>
        <w:tc>
          <w:tcPr>
            <w:tcW w:w="1797" w:type="dxa"/>
            <w:shd w:val="clear" w:color="auto" w:fill="auto"/>
            <w:noWrap/>
            <w:vAlign w:val="center"/>
            <w:hideMark/>
          </w:tcPr>
          <w:p w14:paraId="7A45CEA8"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Low (&lt;23)</w:t>
            </w:r>
          </w:p>
        </w:tc>
        <w:tc>
          <w:tcPr>
            <w:tcW w:w="1657" w:type="dxa"/>
            <w:shd w:val="clear" w:color="auto" w:fill="auto"/>
            <w:noWrap/>
            <w:vAlign w:val="center"/>
            <w:hideMark/>
          </w:tcPr>
          <w:p w14:paraId="6316046E"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80 (40.0%)</w:t>
            </w:r>
          </w:p>
        </w:tc>
        <w:tc>
          <w:tcPr>
            <w:tcW w:w="1797" w:type="dxa"/>
            <w:shd w:val="clear" w:color="auto" w:fill="auto"/>
            <w:noWrap/>
            <w:vAlign w:val="center"/>
            <w:hideMark/>
          </w:tcPr>
          <w:p w14:paraId="5EB4E479" w14:textId="29DD4116"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25</w:t>
            </w:r>
            <w:r>
              <w:rPr>
                <w:color w:val="000000"/>
                <w:kern w:val="0"/>
                <w:lang w:val="en-IE" w:eastAsia="ja-JP"/>
              </w:rPr>
              <w:t xml:space="preserve"> </w:t>
            </w:r>
            <w:r w:rsidRPr="007508B0">
              <w:rPr>
                <w:color w:val="000000"/>
                <w:kern w:val="0"/>
                <w:lang w:val="en-IE" w:eastAsia="ja-JP"/>
              </w:rPr>
              <w:t>(12.5%)</w:t>
            </w:r>
          </w:p>
        </w:tc>
        <w:tc>
          <w:tcPr>
            <w:tcW w:w="1477" w:type="dxa"/>
            <w:shd w:val="clear" w:color="auto" w:fill="auto"/>
            <w:noWrap/>
            <w:vAlign w:val="center"/>
            <w:hideMark/>
          </w:tcPr>
          <w:p w14:paraId="5CADE11A"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10 (5.0%)</w:t>
            </w:r>
          </w:p>
        </w:tc>
        <w:tc>
          <w:tcPr>
            <w:tcW w:w="798" w:type="dxa"/>
            <w:shd w:val="clear" w:color="auto" w:fill="auto"/>
            <w:noWrap/>
            <w:vAlign w:val="center"/>
            <w:hideMark/>
          </w:tcPr>
          <w:p w14:paraId="15A198E9"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115</w:t>
            </w:r>
          </w:p>
        </w:tc>
      </w:tr>
      <w:tr w:rsidR="006738A4" w:rsidRPr="007508B0" w14:paraId="78DDB002" w14:textId="77777777" w:rsidTr="006738A4">
        <w:trPr>
          <w:trHeight w:val="360"/>
          <w:jc w:val="center"/>
        </w:trPr>
        <w:tc>
          <w:tcPr>
            <w:tcW w:w="1134" w:type="dxa"/>
            <w:vMerge/>
            <w:vAlign w:val="center"/>
            <w:hideMark/>
          </w:tcPr>
          <w:p w14:paraId="3EEA096D" w14:textId="77777777" w:rsidR="006738A4" w:rsidRPr="007508B0" w:rsidRDefault="006738A4" w:rsidP="007508B0">
            <w:pPr>
              <w:widowControl/>
              <w:ind w:firstLineChars="0" w:firstLine="0"/>
              <w:jc w:val="left"/>
              <w:rPr>
                <w:color w:val="000000"/>
                <w:kern w:val="0"/>
                <w:lang w:val="en-IE" w:eastAsia="ja-JP"/>
              </w:rPr>
            </w:pPr>
          </w:p>
        </w:tc>
        <w:tc>
          <w:tcPr>
            <w:tcW w:w="1797" w:type="dxa"/>
            <w:shd w:val="clear" w:color="auto" w:fill="auto"/>
            <w:noWrap/>
            <w:vAlign w:val="center"/>
            <w:hideMark/>
          </w:tcPr>
          <w:p w14:paraId="33785E8F"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Intermidiate</w:t>
            </w:r>
          </w:p>
        </w:tc>
        <w:tc>
          <w:tcPr>
            <w:tcW w:w="1657" w:type="dxa"/>
            <w:shd w:val="clear" w:color="auto" w:fill="auto"/>
            <w:noWrap/>
            <w:vAlign w:val="center"/>
            <w:hideMark/>
          </w:tcPr>
          <w:p w14:paraId="2BD06420"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13 (6.5%)</w:t>
            </w:r>
          </w:p>
        </w:tc>
        <w:tc>
          <w:tcPr>
            <w:tcW w:w="1797" w:type="dxa"/>
            <w:shd w:val="clear" w:color="auto" w:fill="auto"/>
            <w:noWrap/>
            <w:vAlign w:val="center"/>
            <w:hideMark/>
          </w:tcPr>
          <w:p w14:paraId="749DE0BC"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28 (14.0%)</w:t>
            </w:r>
          </w:p>
        </w:tc>
        <w:tc>
          <w:tcPr>
            <w:tcW w:w="1477" w:type="dxa"/>
            <w:shd w:val="clear" w:color="auto" w:fill="auto"/>
            <w:noWrap/>
            <w:vAlign w:val="center"/>
            <w:hideMark/>
          </w:tcPr>
          <w:p w14:paraId="67C38694"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14 (7.0%)</w:t>
            </w:r>
          </w:p>
        </w:tc>
        <w:tc>
          <w:tcPr>
            <w:tcW w:w="798" w:type="dxa"/>
            <w:shd w:val="clear" w:color="auto" w:fill="auto"/>
            <w:noWrap/>
            <w:vAlign w:val="center"/>
            <w:hideMark/>
          </w:tcPr>
          <w:p w14:paraId="530EC663"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55</w:t>
            </w:r>
          </w:p>
        </w:tc>
      </w:tr>
      <w:tr w:rsidR="006738A4" w:rsidRPr="007508B0" w14:paraId="1BB8EFE5" w14:textId="77777777" w:rsidTr="006738A4">
        <w:trPr>
          <w:trHeight w:val="360"/>
          <w:jc w:val="center"/>
        </w:trPr>
        <w:tc>
          <w:tcPr>
            <w:tcW w:w="1134" w:type="dxa"/>
            <w:vMerge/>
            <w:vAlign w:val="center"/>
            <w:hideMark/>
          </w:tcPr>
          <w:p w14:paraId="6BB63A14" w14:textId="77777777" w:rsidR="006738A4" w:rsidRPr="007508B0" w:rsidRDefault="006738A4" w:rsidP="007508B0">
            <w:pPr>
              <w:widowControl/>
              <w:ind w:firstLineChars="0" w:firstLine="0"/>
              <w:jc w:val="left"/>
              <w:rPr>
                <w:color w:val="000000"/>
                <w:kern w:val="0"/>
                <w:lang w:val="en-IE" w:eastAsia="ja-JP"/>
              </w:rPr>
            </w:pPr>
          </w:p>
        </w:tc>
        <w:tc>
          <w:tcPr>
            <w:tcW w:w="1797" w:type="dxa"/>
            <w:shd w:val="clear" w:color="auto" w:fill="auto"/>
            <w:noWrap/>
            <w:vAlign w:val="center"/>
            <w:hideMark/>
          </w:tcPr>
          <w:p w14:paraId="48DF0D1F"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High (&gt;32)</w:t>
            </w:r>
          </w:p>
        </w:tc>
        <w:tc>
          <w:tcPr>
            <w:tcW w:w="1657" w:type="dxa"/>
            <w:shd w:val="clear" w:color="auto" w:fill="auto"/>
            <w:noWrap/>
            <w:vAlign w:val="center"/>
            <w:hideMark/>
          </w:tcPr>
          <w:p w14:paraId="300741D8"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4 (2.0%)</w:t>
            </w:r>
          </w:p>
        </w:tc>
        <w:tc>
          <w:tcPr>
            <w:tcW w:w="1797" w:type="dxa"/>
            <w:shd w:val="clear" w:color="auto" w:fill="auto"/>
            <w:noWrap/>
            <w:vAlign w:val="center"/>
            <w:hideMark/>
          </w:tcPr>
          <w:p w14:paraId="2175BE4F"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10 (5.0%)</w:t>
            </w:r>
          </w:p>
        </w:tc>
        <w:tc>
          <w:tcPr>
            <w:tcW w:w="1477" w:type="dxa"/>
            <w:shd w:val="clear" w:color="auto" w:fill="auto"/>
            <w:noWrap/>
            <w:vAlign w:val="center"/>
            <w:hideMark/>
          </w:tcPr>
          <w:p w14:paraId="3D129113"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16 (8.0%)</w:t>
            </w:r>
          </w:p>
        </w:tc>
        <w:tc>
          <w:tcPr>
            <w:tcW w:w="798" w:type="dxa"/>
            <w:shd w:val="clear" w:color="auto" w:fill="auto"/>
            <w:noWrap/>
            <w:vAlign w:val="center"/>
            <w:hideMark/>
          </w:tcPr>
          <w:p w14:paraId="0C545E79"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30</w:t>
            </w:r>
          </w:p>
        </w:tc>
      </w:tr>
      <w:tr w:rsidR="006738A4" w:rsidRPr="007508B0" w14:paraId="0CC6085B" w14:textId="77777777" w:rsidTr="006738A4">
        <w:trPr>
          <w:trHeight w:val="360"/>
          <w:jc w:val="center"/>
        </w:trPr>
        <w:tc>
          <w:tcPr>
            <w:tcW w:w="1134" w:type="dxa"/>
            <w:shd w:val="clear" w:color="auto" w:fill="auto"/>
            <w:noWrap/>
            <w:vAlign w:val="center"/>
            <w:hideMark/>
          </w:tcPr>
          <w:p w14:paraId="20D7F6EA" w14:textId="2F900744" w:rsidR="006738A4" w:rsidRPr="007508B0" w:rsidRDefault="006738A4" w:rsidP="007508B0">
            <w:pPr>
              <w:widowControl/>
              <w:ind w:firstLineChars="0" w:firstLine="0"/>
              <w:jc w:val="center"/>
              <w:rPr>
                <w:color w:val="000000"/>
                <w:kern w:val="0"/>
                <w:lang w:val="en-IE" w:eastAsia="ja-JP"/>
              </w:rPr>
            </w:pPr>
          </w:p>
        </w:tc>
        <w:tc>
          <w:tcPr>
            <w:tcW w:w="1797" w:type="dxa"/>
            <w:shd w:val="clear" w:color="auto" w:fill="auto"/>
            <w:noWrap/>
            <w:vAlign w:val="center"/>
            <w:hideMark/>
          </w:tcPr>
          <w:p w14:paraId="182836DE" w14:textId="434E31E7" w:rsidR="006738A4" w:rsidRPr="007508B0" w:rsidRDefault="006738A4" w:rsidP="007508B0">
            <w:pPr>
              <w:widowControl/>
              <w:ind w:firstLineChars="0" w:firstLine="0"/>
              <w:jc w:val="center"/>
              <w:rPr>
                <w:color w:val="000000"/>
                <w:kern w:val="0"/>
                <w:lang w:val="en-IE" w:eastAsia="ja-JP"/>
              </w:rPr>
            </w:pPr>
          </w:p>
        </w:tc>
        <w:tc>
          <w:tcPr>
            <w:tcW w:w="1657" w:type="dxa"/>
            <w:shd w:val="clear" w:color="auto" w:fill="auto"/>
            <w:noWrap/>
            <w:vAlign w:val="center"/>
            <w:hideMark/>
          </w:tcPr>
          <w:p w14:paraId="59CD9D8A"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97</w:t>
            </w:r>
          </w:p>
        </w:tc>
        <w:tc>
          <w:tcPr>
            <w:tcW w:w="1797" w:type="dxa"/>
            <w:shd w:val="clear" w:color="auto" w:fill="auto"/>
            <w:noWrap/>
            <w:vAlign w:val="center"/>
            <w:hideMark/>
          </w:tcPr>
          <w:p w14:paraId="4021AE7E"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63</w:t>
            </w:r>
          </w:p>
        </w:tc>
        <w:tc>
          <w:tcPr>
            <w:tcW w:w="1477" w:type="dxa"/>
            <w:shd w:val="clear" w:color="auto" w:fill="auto"/>
            <w:noWrap/>
            <w:vAlign w:val="center"/>
            <w:hideMark/>
          </w:tcPr>
          <w:p w14:paraId="672FFF2C"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40</w:t>
            </w:r>
          </w:p>
        </w:tc>
        <w:tc>
          <w:tcPr>
            <w:tcW w:w="798" w:type="dxa"/>
            <w:shd w:val="clear" w:color="auto" w:fill="auto"/>
            <w:noWrap/>
            <w:vAlign w:val="center"/>
            <w:hideMark/>
          </w:tcPr>
          <w:p w14:paraId="375D2E4D" w14:textId="77777777" w:rsidR="006738A4" w:rsidRPr="007508B0" w:rsidRDefault="006738A4" w:rsidP="007508B0">
            <w:pPr>
              <w:widowControl/>
              <w:ind w:firstLineChars="0" w:firstLine="0"/>
              <w:jc w:val="center"/>
              <w:rPr>
                <w:color w:val="000000"/>
                <w:kern w:val="0"/>
                <w:lang w:val="en-IE" w:eastAsia="ja-JP"/>
              </w:rPr>
            </w:pPr>
            <w:r w:rsidRPr="007508B0">
              <w:rPr>
                <w:color w:val="000000"/>
                <w:kern w:val="0"/>
                <w:lang w:val="en-IE" w:eastAsia="ja-JP"/>
              </w:rPr>
              <w:t>200</w:t>
            </w:r>
          </w:p>
        </w:tc>
      </w:tr>
      <w:tr w:rsidR="006738A4" w:rsidRPr="007508B0" w14:paraId="128700AA" w14:textId="77777777" w:rsidTr="006738A4">
        <w:trPr>
          <w:trHeight w:val="320"/>
          <w:jc w:val="center"/>
        </w:trPr>
        <w:tc>
          <w:tcPr>
            <w:tcW w:w="8660" w:type="dxa"/>
            <w:gridSpan w:val="6"/>
            <w:vMerge w:val="restart"/>
            <w:shd w:val="clear" w:color="auto" w:fill="auto"/>
            <w:noWrap/>
            <w:vAlign w:val="center"/>
            <w:hideMark/>
          </w:tcPr>
          <w:p w14:paraId="243B505F" w14:textId="77777777" w:rsidR="006738A4" w:rsidRPr="007508B0" w:rsidRDefault="006738A4" w:rsidP="007508B0">
            <w:pPr>
              <w:widowControl/>
              <w:ind w:firstLineChars="0" w:firstLine="0"/>
              <w:jc w:val="center"/>
              <w:rPr>
                <w:b/>
                <w:bCs/>
                <w:color w:val="000000"/>
                <w:kern w:val="0"/>
                <w:lang w:val="en-IE" w:eastAsia="ja-JP"/>
              </w:rPr>
            </w:pPr>
            <w:r w:rsidRPr="007508B0">
              <w:rPr>
                <w:b/>
                <w:bCs/>
                <w:color w:val="000000"/>
                <w:kern w:val="0"/>
                <w:lang w:val="en-IE" w:eastAsia="ja-JP"/>
              </w:rPr>
              <w:t>Weighted Kappa = 0.85</w:t>
            </w:r>
          </w:p>
        </w:tc>
      </w:tr>
      <w:tr w:rsidR="006738A4" w:rsidRPr="007508B0" w14:paraId="2203B55E" w14:textId="77777777" w:rsidTr="006738A4">
        <w:trPr>
          <w:trHeight w:val="320"/>
          <w:jc w:val="center"/>
        </w:trPr>
        <w:tc>
          <w:tcPr>
            <w:tcW w:w="8660" w:type="dxa"/>
            <w:gridSpan w:val="6"/>
            <w:vMerge/>
            <w:vAlign w:val="center"/>
            <w:hideMark/>
          </w:tcPr>
          <w:p w14:paraId="60313D6B" w14:textId="77777777" w:rsidR="006738A4" w:rsidRPr="007508B0" w:rsidRDefault="006738A4" w:rsidP="007508B0">
            <w:pPr>
              <w:widowControl/>
              <w:ind w:firstLineChars="0" w:firstLine="0"/>
              <w:jc w:val="left"/>
              <w:rPr>
                <w:b/>
                <w:bCs/>
                <w:color w:val="000000"/>
                <w:kern w:val="0"/>
                <w:lang w:val="en-IE" w:eastAsia="ja-JP"/>
              </w:rPr>
            </w:pPr>
          </w:p>
        </w:tc>
      </w:tr>
    </w:tbl>
    <w:p w14:paraId="67E3DA6A" w14:textId="3FFC4631" w:rsidR="009A1C5E" w:rsidRDefault="009A1C5E" w:rsidP="00FC70BE">
      <w:pPr>
        <w:pStyle w:val="aa"/>
        <w:rPr>
          <w:lang w:val="en-GB"/>
        </w:rPr>
      </w:pPr>
      <w:r w:rsidRPr="00FC07D5">
        <w:rPr>
          <w:lang w:val="en-GB"/>
        </w:rPr>
        <w:t>The agreement of the proportion of patients classified in Anatomical SYNTAX score tertiles (low</w:t>
      </w:r>
      <w:r w:rsidR="00D67B3A">
        <w:rPr>
          <w:lang w:val="en-GB"/>
        </w:rPr>
        <w:t xml:space="preserve"> </w:t>
      </w:r>
      <w:r w:rsidRPr="00FC07D5">
        <w:rPr>
          <w:lang w:val="en-GB"/>
        </w:rPr>
        <w:t>&lt;23, intermediate 23</w:t>
      </w:r>
      <w:r w:rsidR="00D67B3A">
        <w:rPr>
          <w:lang w:val="en-GB"/>
        </w:rPr>
        <w:t>–</w:t>
      </w:r>
      <w:r w:rsidRPr="00FC07D5">
        <w:rPr>
          <w:lang w:val="en-GB"/>
        </w:rPr>
        <w:t>32, and high</w:t>
      </w:r>
      <w:r w:rsidR="00FC70BE">
        <w:rPr>
          <w:lang w:val="en-GB"/>
        </w:rPr>
        <w:t xml:space="preserve"> </w:t>
      </w:r>
      <w:r w:rsidRPr="00FC07D5">
        <w:rPr>
          <w:lang w:val="en-GB"/>
        </w:rPr>
        <w:t>&gt;32) was almost perfect (weighted Kappa</w:t>
      </w:r>
      <w:r w:rsidR="00FC70BE">
        <w:rPr>
          <w:lang w:val="en-GB"/>
        </w:rPr>
        <w:t xml:space="preserve"> </w:t>
      </w:r>
      <w:r w:rsidRPr="00FC07D5">
        <w:rPr>
          <w:lang w:val="en-GB"/>
        </w:rPr>
        <w:t>=</w:t>
      </w:r>
      <w:r w:rsidR="00FC70BE">
        <w:rPr>
          <w:lang w:val="en-GB"/>
        </w:rPr>
        <w:t xml:space="preserve"> </w:t>
      </w:r>
      <w:r w:rsidRPr="00FC07D5">
        <w:rPr>
          <w:lang w:val="en-GB"/>
        </w:rPr>
        <w:t>0.85).</w:t>
      </w:r>
    </w:p>
    <w:p w14:paraId="54D26F94" w14:textId="280F5609" w:rsidR="0022648E" w:rsidRDefault="0022648E" w:rsidP="00E04BB1">
      <w:pPr>
        <w:adjustRightInd w:val="0"/>
        <w:snapToGrid w:val="0"/>
        <w:ind w:firstLine="420"/>
        <w:rPr>
          <w:lang w:val="en-GB"/>
        </w:rPr>
      </w:pPr>
    </w:p>
    <w:p w14:paraId="6F6465DE" w14:textId="6A9DCC8D" w:rsidR="0022648E" w:rsidRDefault="0022648E" w:rsidP="00E04BB1">
      <w:pPr>
        <w:adjustRightInd w:val="0"/>
        <w:snapToGrid w:val="0"/>
        <w:ind w:firstLine="420"/>
        <w:rPr>
          <w:rFonts w:eastAsia="等线"/>
          <w:lang w:val="en-GB"/>
        </w:rPr>
      </w:pPr>
    </w:p>
    <w:p w14:paraId="42BD3170" w14:textId="77777777" w:rsidR="008D6DBB" w:rsidRPr="008D6DBB" w:rsidRDefault="008D6DBB" w:rsidP="00E04BB1">
      <w:pPr>
        <w:adjustRightInd w:val="0"/>
        <w:snapToGrid w:val="0"/>
        <w:ind w:firstLine="420"/>
        <w:rPr>
          <w:rFonts w:eastAsia="等线" w:hint="eastAsia"/>
          <w:lang w:val="en-GB"/>
        </w:rPr>
      </w:pPr>
    </w:p>
    <w:p w14:paraId="16DE52CF" w14:textId="01345467" w:rsidR="0022648E" w:rsidRPr="007A658C" w:rsidRDefault="0022648E" w:rsidP="00FC70BE">
      <w:pPr>
        <w:pStyle w:val="References"/>
        <w:rPr>
          <w:lang w:val="en-GB"/>
        </w:rPr>
      </w:pPr>
      <w:r w:rsidRPr="007A658C">
        <w:rPr>
          <w:lang w:val="en-GB"/>
        </w:rPr>
        <w:lastRenderedPageBreak/>
        <w:t>References</w:t>
      </w:r>
      <w:r w:rsidR="00D67B3A">
        <w:rPr>
          <w:lang w:val="en-GB"/>
        </w:rPr>
        <w:t>:</w:t>
      </w:r>
    </w:p>
    <w:p w14:paraId="7BC01E2C" w14:textId="71600A52" w:rsidR="00D67B3A" w:rsidRPr="00D67B3A" w:rsidRDefault="00D67B3A" w:rsidP="00D67B3A">
      <w:pPr>
        <w:pStyle w:val="a5"/>
      </w:pPr>
      <w:r w:rsidRPr="00D67B3A">
        <w:t xml:space="preserve">[1] </w:t>
      </w:r>
      <w:bookmarkStart w:id="1" w:name="OLE_LINK2"/>
      <w:bookmarkStart w:id="2" w:name="OLE_LINK3"/>
      <w:r w:rsidRPr="00D67B3A">
        <w:t>Serruys P, Onuma Y, Garg S, Sarno G, van den Brand M, Kappetein A,</w:t>
      </w:r>
      <w:r w:rsidRPr="00D67B3A">
        <w:rPr>
          <w:i/>
        </w:rPr>
        <w:t xml:space="preserve"> et al</w:t>
      </w:r>
      <w:r w:rsidRPr="00D67B3A">
        <w:t>. Assessment of the SYNTAX score in the Syntax study. EuroIntervention. 2009; 5: 50</w:t>
      </w:r>
      <w:r>
        <w:t>–</w:t>
      </w:r>
      <w:r w:rsidRPr="00D67B3A">
        <w:t>56.</w:t>
      </w:r>
      <w:bookmarkEnd w:id="1"/>
      <w:bookmarkEnd w:id="2"/>
    </w:p>
    <w:p w14:paraId="40D69979" w14:textId="43B34540" w:rsidR="00D67B3A" w:rsidRPr="00D67B3A" w:rsidRDefault="00D67B3A" w:rsidP="00D67B3A">
      <w:pPr>
        <w:pStyle w:val="a5"/>
      </w:pPr>
      <w:r w:rsidRPr="00D67B3A">
        <w:t xml:space="preserve">[2] </w:t>
      </w:r>
      <w:bookmarkStart w:id="3" w:name="OLE_LINK4"/>
      <w:r w:rsidRPr="00D67B3A">
        <w:t>Généreux P, Palmerini T, Caixeta A, Cristea E, Mehran R, Sanchez R,</w:t>
      </w:r>
      <w:r w:rsidRPr="00D67B3A">
        <w:rPr>
          <w:i/>
        </w:rPr>
        <w:t xml:space="preserve"> et al</w:t>
      </w:r>
      <w:r w:rsidRPr="00D67B3A">
        <w:t>. SYNTAX Score Reproducibility and Variability between Interventional Cardiologists, Core Laboratory Technicians, and Quantitative Coronary Measurements. Circulation: Cardiovascular Interventions. 2011; 4: 553</w:t>
      </w:r>
      <w:r>
        <w:t>–</w:t>
      </w:r>
      <w:r w:rsidRPr="00D67B3A">
        <w:t>561.</w:t>
      </w:r>
      <w:bookmarkEnd w:id="3"/>
    </w:p>
    <w:p w14:paraId="5E891F00" w14:textId="201282E5" w:rsidR="00D67B3A" w:rsidRPr="00D67B3A" w:rsidRDefault="00D67B3A" w:rsidP="00D67B3A">
      <w:pPr>
        <w:pStyle w:val="a5"/>
      </w:pPr>
      <w:r w:rsidRPr="00D67B3A">
        <w:t>[3] Serruys PW, Chichareon P, Modolo R, Leaman DM, Reiber JHC, Emanuelsson H,</w:t>
      </w:r>
      <w:r w:rsidRPr="00D67B3A">
        <w:rPr>
          <w:i/>
        </w:rPr>
        <w:t xml:space="preserve"> et al</w:t>
      </w:r>
      <w:r w:rsidRPr="00D67B3A">
        <w:t>. The SYNTAX score on its way out or … towards</w:t>
      </w:r>
      <w:r>
        <w:t xml:space="preserve"> artificial intelligence: part I</w:t>
      </w:r>
      <w:r w:rsidRPr="00D67B3A">
        <w:t>. EuroIntervention. 2020; 16: 44</w:t>
      </w:r>
      <w:r>
        <w:t>–</w:t>
      </w:r>
      <w:r w:rsidRPr="00D67B3A">
        <w:t>59.</w:t>
      </w:r>
    </w:p>
    <w:p w14:paraId="45D4FC42" w14:textId="119364A7" w:rsidR="0022648E" w:rsidRPr="00FC07D5" w:rsidRDefault="0022648E" w:rsidP="00E04BB1">
      <w:pPr>
        <w:adjustRightInd w:val="0"/>
        <w:snapToGrid w:val="0"/>
        <w:ind w:firstLine="420"/>
        <w:rPr>
          <w:lang w:val="en-GB"/>
        </w:rPr>
      </w:pPr>
    </w:p>
    <w:sectPr w:rsidR="0022648E" w:rsidRPr="00FC07D5" w:rsidSect="00D67B3A">
      <w:headerReference w:type="even" r:id="rId10"/>
      <w:headerReference w:type="default" r:id="rId11"/>
      <w:footerReference w:type="even" r:id="rId12"/>
      <w:footerReference w:type="default" r:id="rId13"/>
      <w:headerReference w:type="first" r:id="rId14"/>
      <w:footerReference w:type="first" r:id="rId15"/>
      <w:pgSz w:w="11906" w:h="16838"/>
      <w:pgMar w:top="851" w:right="1134" w:bottom="851"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5CEEB" w16cex:dateUtc="2022-03-22T17:09:00Z"/>
  <w16cex:commentExtensible w16cex:durableId="25E5D689" w16cex:dateUtc="2022-03-23T17:25:00Z"/>
  <w16cex:commentExtensible w16cex:durableId="25E5CEEC" w16cex:dateUtc="2022-03-23T11:25:00Z"/>
  <w16cex:commentExtensible w16cex:durableId="25E5CEFA" w16cex:dateUtc="2022-03-23T16:53:00Z"/>
  <w16cex:commentExtensible w16cex:durableId="25E5CEED" w16cex:dateUtc="2022-03-23T11:17:00Z"/>
  <w16cex:commentExtensible w16cex:durableId="25E5CF6D" w16cex:dateUtc="2022-03-23T16:55:00Z"/>
  <w16cex:commentExtensible w16cex:durableId="25E5CEEE" w16cex:dateUtc="2022-03-22T17:10:00Z"/>
  <w16cex:commentExtensible w16cex:durableId="25E5D9ED" w16cex:dateUtc="2022-03-23T17:39:00Z"/>
  <w16cex:commentExtensible w16cex:durableId="25E5CEEF" w16cex:dateUtc="2022-03-23T11:18:00Z"/>
  <w16cex:commentExtensible w16cex:durableId="25E5D209" w16cex:dateUtc="2022-03-23T17: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21BD5A0" w16cid:durableId="25E5CEEB"/>
  <w16cid:commentId w16cid:paraId="4B69A2F4" w16cid:durableId="25E5D689"/>
  <w16cid:commentId w16cid:paraId="2D26CEC8" w16cid:durableId="25E5CEEC"/>
  <w16cid:commentId w16cid:paraId="5F0F8963" w16cid:durableId="25E5CEFA"/>
  <w16cid:commentId w16cid:paraId="37C0BAFD" w16cid:durableId="25E5CEED"/>
  <w16cid:commentId w16cid:paraId="7D12F95E" w16cid:durableId="25E5CF6D"/>
  <w16cid:commentId w16cid:paraId="154B81E0" w16cid:durableId="25E5CEEE"/>
  <w16cid:commentId w16cid:paraId="00D4D9E8" w16cid:durableId="25E5D9ED"/>
  <w16cid:commentId w16cid:paraId="1F3DD9A4" w16cid:durableId="25E5CEEF"/>
  <w16cid:commentId w16cid:paraId="607F5977" w16cid:durableId="25E5D209"/>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29642" w14:textId="77777777" w:rsidR="00870754" w:rsidRDefault="00870754" w:rsidP="00D67B3A">
      <w:pPr>
        <w:ind w:firstLine="420"/>
      </w:pPr>
      <w:r>
        <w:separator/>
      </w:r>
    </w:p>
  </w:endnote>
  <w:endnote w:type="continuationSeparator" w:id="0">
    <w:p w14:paraId="0DD826D5" w14:textId="77777777" w:rsidR="00870754" w:rsidRDefault="00870754" w:rsidP="00D67B3A">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0000600000000000000"/>
    <w:charset w:val="00"/>
    <w:family w:val="auto"/>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10078C" w14:textId="77777777" w:rsidR="00D67B3A" w:rsidRDefault="00D67B3A">
    <w:pPr>
      <w:pStyle w:val="afe"/>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067A94" w14:textId="77777777" w:rsidR="00D67B3A" w:rsidRDefault="00D67B3A">
    <w:pPr>
      <w:pStyle w:val="afe"/>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9D961" w14:textId="77777777" w:rsidR="00D67B3A" w:rsidRDefault="00D67B3A">
    <w:pPr>
      <w:pStyle w:val="afe"/>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48BB23" w14:textId="77777777" w:rsidR="00870754" w:rsidRDefault="00870754" w:rsidP="00D67B3A">
      <w:pPr>
        <w:ind w:firstLine="420"/>
      </w:pPr>
      <w:r>
        <w:separator/>
      </w:r>
    </w:p>
  </w:footnote>
  <w:footnote w:type="continuationSeparator" w:id="0">
    <w:p w14:paraId="7296B6EF" w14:textId="77777777" w:rsidR="00870754" w:rsidRDefault="00870754" w:rsidP="00D67B3A">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445D1A" w14:textId="77777777" w:rsidR="00D67B3A" w:rsidRDefault="00D67B3A">
    <w:pPr>
      <w:pStyle w:val="aff0"/>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8DFAA" w14:textId="77777777" w:rsidR="00D67B3A" w:rsidRDefault="00D67B3A" w:rsidP="00FA5790">
    <w:pPr>
      <w:pStyle w:val="aff0"/>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C347F" w14:textId="77777777" w:rsidR="00D67B3A" w:rsidRDefault="00D67B3A">
    <w:pPr>
      <w:pStyle w:val="aff0"/>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360011EC"/>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 w15:restartNumberingAfterBreak="0">
    <w:nsid w:val="6F2B0E07"/>
    <w:multiLevelType w:val="hybridMultilevel"/>
    <w:tmpl w:val="C9567BD6"/>
    <w:lvl w:ilvl="0" w:tplc="87868488">
      <w:start w:val="1"/>
      <w:numFmt w:val="decimal"/>
      <w:lvlText w:val="[%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C5E"/>
    <w:rsid w:val="000D17EF"/>
    <w:rsid w:val="0010665D"/>
    <w:rsid w:val="0022648E"/>
    <w:rsid w:val="002A7D2F"/>
    <w:rsid w:val="0031223F"/>
    <w:rsid w:val="0031693E"/>
    <w:rsid w:val="00400A62"/>
    <w:rsid w:val="004562D4"/>
    <w:rsid w:val="004C6169"/>
    <w:rsid w:val="006738A4"/>
    <w:rsid w:val="007119DF"/>
    <w:rsid w:val="007508B0"/>
    <w:rsid w:val="00870754"/>
    <w:rsid w:val="008B57FD"/>
    <w:rsid w:val="008D6DBB"/>
    <w:rsid w:val="009A1C5E"/>
    <w:rsid w:val="00AA7505"/>
    <w:rsid w:val="00AE04C1"/>
    <w:rsid w:val="00B96682"/>
    <w:rsid w:val="00C71C7E"/>
    <w:rsid w:val="00D67B3A"/>
    <w:rsid w:val="00E04BB1"/>
    <w:rsid w:val="00EC2F63"/>
    <w:rsid w:val="00FA5790"/>
    <w:rsid w:val="00FC07D5"/>
    <w:rsid w:val="00FC70BE"/>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4E6860"/>
  <w15:chartTrackingRefBased/>
  <w15:docId w15:val="{494620F8-E43A-0C4D-BD64-A17225FC5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IE" w:eastAsia="ja-JP"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0A62"/>
    <w:pPr>
      <w:widowControl w:val="0"/>
      <w:ind w:firstLineChars="200" w:firstLine="200"/>
      <w:jc w:val="both"/>
    </w:pPr>
    <w:rPr>
      <w:rFonts w:ascii="Times New Roman" w:eastAsia="Times New Roman" w:hAnsi="Times New Roman" w:cs="Times New Roman"/>
      <w:kern w:val="2"/>
      <w:sz w:val="21"/>
      <w:szCs w:val="21"/>
      <w:lang w:val="en-US" w:eastAsia="zh-CN"/>
    </w:rPr>
  </w:style>
  <w:style w:type="paragraph" w:styleId="1">
    <w:name w:val="heading 1"/>
    <w:aliases w:val="一级标题"/>
    <w:basedOn w:val="a"/>
    <w:next w:val="a"/>
    <w:link w:val="10"/>
    <w:autoRedefine/>
    <w:uiPriority w:val="1"/>
    <w:qFormat/>
    <w:rsid w:val="00400A62"/>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400A62"/>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400A62"/>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400A62"/>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400A62"/>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400A62"/>
    <w:pPr>
      <w:keepNext/>
      <w:keepLines/>
      <w:numPr>
        <w:ilvl w:val="5"/>
        <w:numId w:val="5"/>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400A62"/>
    <w:pPr>
      <w:keepNext/>
      <w:keepLines/>
      <w:numPr>
        <w:ilvl w:val="6"/>
        <w:numId w:val="5"/>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400A62"/>
    <w:pPr>
      <w:keepNext/>
      <w:keepLines/>
      <w:numPr>
        <w:ilvl w:val="7"/>
        <w:numId w:val="5"/>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400A62"/>
    <w:pPr>
      <w:keepNext/>
      <w:keepLines/>
      <w:numPr>
        <w:ilvl w:val="8"/>
        <w:numId w:val="5"/>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andaardalinea-lettertype">
    <w:name w:val="Standaardalinea-lettertype"/>
    <w:rsid w:val="009A1C5E"/>
  </w:style>
  <w:style w:type="paragraph" w:customStyle="1" w:styleId="EndNoteBibliography">
    <w:name w:val="EndNote Bibliography"/>
    <w:basedOn w:val="a"/>
    <w:rsid w:val="009A1C5E"/>
    <w:pPr>
      <w:suppressAutoHyphens/>
      <w:autoSpaceDN w:val="0"/>
      <w:spacing w:after="160"/>
      <w:textAlignment w:val="baseline"/>
    </w:pPr>
    <w:rPr>
      <w:rFonts w:eastAsia="Calibri"/>
      <w:szCs w:val="22"/>
      <w:lang w:eastAsia="en-US"/>
    </w:rPr>
  </w:style>
  <w:style w:type="character" w:customStyle="1" w:styleId="20">
    <w:name w:val="标题 2 字符"/>
    <w:aliases w:val="二级标题 字符"/>
    <w:link w:val="2"/>
    <w:uiPriority w:val="9"/>
    <w:rsid w:val="00400A62"/>
    <w:rPr>
      <w:rFonts w:ascii="Times New Roman" w:eastAsia="Times New Roman" w:hAnsi="Times New Roman" w:cs="Times New Roman"/>
      <w:b/>
      <w:bCs/>
      <w:i/>
      <w:kern w:val="2"/>
      <w:sz w:val="22"/>
      <w:szCs w:val="21"/>
      <w:lang w:val="en-US" w:eastAsia="zh-CN"/>
    </w:rPr>
  </w:style>
  <w:style w:type="paragraph" w:styleId="a3">
    <w:name w:val="Body Text"/>
    <w:basedOn w:val="a"/>
    <w:link w:val="a4"/>
    <w:autoRedefine/>
    <w:uiPriority w:val="1"/>
    <w:qFormat/>
    <w:rsid w:val="00400A62"/>
    <w:pPr>
      <w:autoSpaceDE w:val="0"/>
      <w:autoSpaceDN w:val="0"/>
      <w:adjustRightInd w:val="0"/>
      <w:ind w:firstLine="420"/>
    </w:pPr>
    <w:rPr>
      <w:kern w:val="0"/>
    </w:rPr>
  </w:style>
  <w:style w:type="character" w:customStyle="1" w:styleId="a4">
    <w:name w:val="正文文本 字符"/>
    <w:link w:val="a3"/>
    <w:uiPriority w:val="1"/>
    <w:rsid w:val="00400A62"/>
    <w:rPr>
      <w:rFonts w:ascii="Times New Roman" w:eastAsia="Times New Roman" w:hAnsi="Times New Roman" w:cs="Times New Roman"/>
      <w:sz w:val="21"/>
      <w:szCs w:val="21"/>
      <w:lang w:val="en-US" w:eastAsia="zh-CN"/>
    </w:rPr>
  </w:style>
  <w:style w:type="paragraph" w:customStyle="1" w:styleId="a5">
    <w:name w:val="参考文献"/>
    <w:basedOn w:val="a"/>
    <w:autoRedefine/>
    <w:qFormat/>
    <w:rsid w:val="00400A62"/>
    <w:pPr>
      <w:ind w:left="360" w:hangingChars="200" w:hanging="360"/>
    </w:pPr>
    <w:rPr>
      <w:rFonts w:eastAsiaTheme="minorEastAsia" w:cstheme="minorBidi"/>
      <w:sz w:val="18"/>
      <w:szCs w:val="24"/>
    </w:rPr>
  </w:style>
  <w:style w:type="paragraph" w:customStyle="1" w:styleId="a6">
    <w:name w:val="致谢部分"/>
    <w:basedOn w:val="a3"/>
    <w:link w:val="a7"/>
    <w:autoRedefine/>
    <w:qFormat/>
    <w:rsid w:val="00400A62"/>
    <w:pPr>
      <w:ind w:firstLineChars="0" w:firstLine="0"/>
    </w:pPr>
    <w:rPr>
      <w:b/>
    </w:rPr>
  </w:style>
  <w:style w:type="character" w:customStyle="1" w:styleId="a7">
    <w:name w:val="致谢部分 字符"/>
    <w:basedOn w:val="a4"/>
    <w:link w:val="a6"/>
    <w:rsid w:val="00400A62"/>
    <w:rPr>
      <w:rFonts w:ascii="Times New Roman" w:eastAsia="Times New Roman" w:hAnsi="Times New Roman" w:cs="Times New Roman"/>
      <w:b/>
      <w:sz w:val="21"/>
      <w:szCs w:val="21"/>
      <w:lang w:val="en-US" w:eastAsia="zh-CN"/>
    </w:rPr>
  </w:style>
  <w:style w:type="paragraph" w:customStyle="1" w:styleId="Abstract">
    <w:name w:val="Abstract"/>
    <w:basedOn w:val="a"/>
    <w:autoRedefine/>
    <w:qFormat/>
    <w:rsid w:val="00400A62"/>
    <w:pPr>
      <w:ind w:firstLineChars="0" w:firstLine="0"/>
    </w:pPr>
    <w:rPr>
      <w:b/>
      <w:noProof/>
      <w:sz w:val="24"/>
      <w:szCs w:val="24"/>
    </w:rPr>
  </w:style>
  <w:style w:type="paragraph" w:customStyle="1" w:styleId="Keywords">
    <w:name w:val="Keywords"/>
    <w:basedOn w:val="a"/>
    <w:autoRedefine/>
    <w:qFormat/>
    <w:rsid w:val="00400A62"/>
    <w:pPr>
      <w:ind w:firstLineChars="0" w:firstLine="0"/>
    </w:pPr>
    <w:rPr>
      <w:rFonts w:eastAsia="宋体"/>
      <w:b/>
      <w:noProof/>
    </w:rPr>
  </w:style>
  <w:style w:type="paragraph" w:customStyle="1" w:styleId="References">
    <w:name w:val="References"/>
    <w:basedOn w:val="a"/>
    <w:link w:val="References0"/>
    <w:autoRedefine/>
    <w:qFormat/>
    <w:rsid w:val="00400A62"/>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400A62"/>
    <w:rPr>
      <w:rFonts w:ascii="Times New Roman" w:eastAsia="Times New Roman" w:hAnsi="Times New Roman" w:cs="Times New Roman"/>
      <w:b/>
      <w:lang w:val="en-US" w:eastAsia="zh-CN"/>
    </w:rPr>
  </w:style>
  <w:style w:type="paragraph" w:customStyle="1" w:styleId="TableParagraph">
    <w:name w:val="Table Paragraph"/>
    <w:basedOn w:val="a"/>
    <w:uiPriority w:val="1"/>
    <w:qFormat/>
    <w:rsid w:val="00400A62"/>
    <w:pPr>
      <w:autoSpaceDE w:val="0"/>
      <w:autoSpaceDN w:val="0"/>
      <w:adjustRightInd w:val="0"/>
      <w:ind w:left="133"/>
      <w:jc w:val="center"/>
    </w:pPr>
    <w:rPr>
      <w:rFonts w:ascii="Book Antiqua" w:hAnsi="Book Antiqua" w:cs="Book Antiqua"/>
      <w:kern w:val="0"/>
      <w:sz w:val="24"/>
      <w:szCs w:val="24"/>
    </w:rPr>
  </w:style>
  <w:style w:type="paragraph" w:customStyle="1" w:styleId="a8">
    <w:name w:val="版权信息"/>
    <w:basedOn w:val="a"/>
    <w:autoRedefine/>
    <w:qFormat/>
    <w:rsid w:val="00400A62"/>
    <w:pPr>
      <w:ind w:firstLineChars="0" w:firstLine="0"/>
    </w:pPr>
  </w:style>
  <w:style w:type="character" w:customStyle="1" w:styleId="10">
    <w:name w:val="标题 1 字符"/>
    <w:aliases w:val="一级标题 字符"/>
    <w:link w:val="1"/>
    <w:uiPriority w:val="1"/>
    <w:rsid w:val="00400A62"/>
    <w:rPr>
      <w:rFonts w:ascii="Times New Roman" w:eastAsia="Times New Roman" w:hAnsi="Times New Roman" w:cs="Book Antiqua"/>
      <w:b/>
      <w:bCs/>
      <w:szCs w:val="20"/>
      <w:lang w:val="en-US" w:eastAsia="zh-CN"/>
    </w:rPr>
  </w:style>
  <w:style w:type="character" w:customStyle="1" w:styleId="30">
    <w:name w:val="标题 3 字符"/>
    <w:aliases w:val="三级标题 字符"/>
    <w:link w:val="3"/>
    <w:uiPriority w:val="9"/>
    <w:rsid w:val="00400A62"/>
    <w:rPr>
      <w:rFonts w:ascii="Times New Roman" w:eastAsia="Times New Roman" w:hAnsi="Times New Roman" w:cs="Times New Roman"/>
      <w:bCs/>
      <w:i/>
      <w:kern w:val="2"/>
      <w:sz w:val="22"/>
      <w:szCs w:val="32"/>
      <w:lang w:val="en-US" w:eastAsia="zh-CN"/>
    </w:rPr>
  </w:style>
  <w:style w:type="character" w:customStyle="1" w:styleId="40">
    <w:name w:val="标题 4 字符"/>
    <w:link w:val="4"/>
    <w:uiPriority w:val="9"/>
    <w:rsid w:val="00400A62"/>
    <w:rPr>
      <w:rFonts w:ascii="Calibri Light" w:eastAsia="NimbusRomNo9L" w:hAnsi="Calibri Light" w:cs="NimbusRomNo9L"/>
      <w:b/>
      <w:bCs/>
      <w:sz w:val="28"/>
      <w:szCs w:val="28"/>
      <w:lang w:val="en-US" w:eastAsia="zh-CN"/>
    </w:rPr>
  </w:style>
  <w:style w:type="character" w:customStyle="1" w:styleId="50">
    <w:name w:val="标题 5 字符"/>
    <w:link w:val="5"/>
    <w:uiPriority w:val="9"/>
    <w:rsid w:val="00400A62"/>
    <w:rPr>
      <w:rFonts w:ascii="Times New Roman" w:eastAsia="Times New Roman" w:hAnsi="Times New Roman" w:cs="Times New Roman"/>
      <w:b/>
      <w:bCs/>
      <w:kern w:val="2"/>
      <w:sz w:val="28"/>
      <w:szCs w:val="28"/>
      <w:lang w:val="en-US" w:eastAsia="zh-CN"/>
    </w:rPr>
  </w:style>
  <w:style w:type="character" w:customStyle="1" w:styleId="60">
    <w:name w:val="标题 6 字符"/>
    <w:basedOn w:val="a0"/>
    <w:link w:val="6"/>
    <w:uiPriority w:val="9"/>
    <w:rsid w:val="00400A62"/>
    <w:rPr>
      <w:rFonts w:asciiTheme="majorHAnsi" w:eastAsiaTheme="majorEastAsia" w:hAnsiTheme="majorHAnsi" w:cstheme="majorBidi"/>
      <w:b/>
      <w:bCs/>
      <w:kern w:val="2"/>
      <w:lang w:val="en-US" w:eastAsia="zh-CN"/>
    </w:rPr>
  </w:style>
  <w:style w:type="character" w:customStyle="1" w:styleId="70">
    <w:name w:val="标题 7 字符"/>
    <w:basedOn w:val="a0"/>
    <w:link w:val="7"/>
    <w:uiPriority w:val="9"/>
    <w:rsid w:val="00400A62"/>
    <w:rPr>
      <w:rFonts w:ascii="Times New Roman" w:eastAsia="Times New Roman" w:hAnsi="Times New Roman" w:cs="Times New Roman"/>
      <w:b/>
      <w:bCs/>
      <w:kern w:val="2"/>
      <w:lang w:val="en-US" w:eastAsia="zh-CN"/>
    </w:rPr>
  </w:style>
  <w:style w:type="character" w:customStyle="1" w:styleId="80">
    <w:name w:val="标题 8 字符"/>
    <w:basedOn w:val="a0"/>
    <w:link w:val="8"/>
    <w:uiPriority w:val="9"/>
    <w:rsid w:val="00400A62"/>
    <w:rPr>
      <w:rFonts w:asciiTheme="majorHAnsi" w:eastAsiaTheme="majorEastAsia" w:hAnsiTheme="majorHAnsi" w:cstheme="majorBidi"/>
      <w:kern w:val="2"/>
      <w:lang w:val="en-US" w:eastAsia="zh-CN"/>
    </w:rPr>
  </w:style>
  <w:style w:type="character" w:customStyle="1" w:styleId="90">
    <w:name w:val="标题 9 字符"/>
    <w:basedOn w:val="a0"/>
    <w:link w:val="9"/>
    <w:uiPriority w:val="9"/>
    <w:semiHidden/>
    <w:rsid w:val="00400A62"/>
    <w:rPr>
      <w:rFonts w:asciiTheme="majorHAnsi" w:eastAsiaTheme="majorEastAsia" w:hAnsiTheme="majorHAnsi" w:cstheme="majorBidi"/>
      <w:kern w:val="2"/>
      <w:sz w:val="21"/>
      <w:szCs w:val="21"/>
      <w:lang w:val="en-US" w:eastAsia="zh-CN"/>
    </w:rPr>
  </w:style>
  <w:style w:type="paragraph" w:customStyle="1" w:styleId="a9">
    <w:name w:val="表题"/>
    <w:basedOn w:val="a"/>
    <w:autoRedefine/>
    <w:qFormat/>
    <w:rsid w:val="00FC70BE"/>
    <w:pPr>
      <w:spacing w:beforeLines="100" w:before="240" w:afterLines="100" w:after="240" w:line="360" w:lineRule="auto"/>
      <w:ind w:firstLineChars="0" w:firstLine="0"/>
      <w:jc w:val="center"/>
    </w:pPr>
    <w:rPr>
      <w:b/>
    </w:rPr>
  </w:style>
  <w:style w:type="paragraph" w:customStyle="1" w:styleId="aa">
    <w:name w:val="表注"/>
    <w:basedOn w:val="a"/>
    <w:autoRedefine/>
    <w:qFormat/>
    <w:rsid w:val="00400A62"/>
    <w:pPr>
      <w:snapToGrid w:val="0"/>
      <w:ind w:firstLineChars="0" w:firstLine="0"/>
    </w:pPr>
  </w:style>
  <w:style w:type="character" w:styleId="ab">
    <w:name w:val="Hyperlink"/>
    <w:uiPriority w:val="99"/>
    <w:unhideWhenUsed/>
    <w:rsid w:val="00400A62"/>
    <w:rPr>
      <w:color w:val="0563C1"/>
      <w:u w:val="single"/>
    </w:rPr>
  </w:style>
  <w:style w:type="paragraph" w:customStyle="1" w:styleId="ac">
    <w:name w:val="稿件类型"/>
    <w:basedOn w:val="a"/>
    <w:autoRedefine/>
    <w:qFormat/>
    <w:rsid w:val="00400A62"/>
    <w:pPr>
      <w:ind w:firstLineChars="0" w:firstLine="0"/>
      <w:jc w:val="left"/>
    </w:pPr>
    <w:rPr>
      <w:rFonts w:eastAsia="宋体" w:cstheme="minorBidi"/>
      <w:sz w:val="20"/>
    </w:rPr>
  </w:style>
  <w:style w:type="paragraph" w:customStyle="1" w:styleId="ad">
    <w:name w:val="关键词"/>
    <w:basedOn w:val="Keywords"/>
    <w:autoRedefine/>
    <w:qFormat/>
    <w:rsid w:val="00400A62"/>
    <w:rPr>
      <w:rFonts w:eastAsia="Times New Roman"/>
      <w:b w:val="0"/>
    </w:rPr>
  </w:style>
  <w:style w:type="character" w:styleId="ae">
    <w:name w:val="line number"/>
    <w:uiPriority w:val="99"/>
    <w:semiHidden/>
    <w:unhideWhenUsed/>
    <w:rsid w:val="00400A62"/>
  </w:style>
  <w:style w:type="paragraph" w:customStyle="1" w:styleId="af">
    <w:name w:val="机构信息"/>
    <w:basedOn w:val="a"/>
    <w:link w:val="af0"/>
    <w:autoRedefine/>
    <w:qFormat/>
    <w:rsid w:val="00400A62"/>
    <w:pPr>
      <w:ind w:firstLineChars="0" w:firstLine="0"/>
    </w:pPr>
    <w:rPr>
      <w:rFonts w:cstheme="minorBidi"/>
    </w:rPr>
  </w:style>
  <w:style w:type="character" w:customStyle="1" w:styleId="af0">
    <w:name w:val="机构信息 字符"/>
    <w:link w:val="af"/>
    <w:rsid w:val="00400A62"/>
    <w:rPr>
      <w:rFonts w:ascii="Times New Roman" w:eastAsia="Times New Roman" w:hAnsi="Times New Roman"/>
      <w:kern w:val="2"/>
      <w:sz w:val="21"/>
      <w:szCs w:val="21"/>
      <w:lang w:val="en-US" w:eastAsia="zh-CN"/>
    </w:rPr>
  </w:style>
  <w:style w:type="paragraph" w:customStyle="1" w:styleId="af1">
    <w:name w:val="接收日期"/>
    <w:basedOn w:val="a"/>
    <w:autoRedefine/>
    <w:qFormat/>
    <w:rsid w:val="00400A62"/>
    <w:pPr>
      <w:ind w:firstLineChars="0" w:firstLine="0"/>
    </w:pPr>
  </w:style>
  <w:style w:type="paragraph" w:styleId="af2">
    <w:name w:val="List Paragraph"/>
    <w:basedOn w:val="a"/>
    <w:uiPriority w:val="1"/>
    <w:qFormat/>
    <w:rsid w:val="00400A62"/>
    <w:pPr>
      <w:autoSpaceDE w:val="0"/>
      <w:autoSpaceDN w:val="0"/>
      <w:adjustRightInd w:val="0"/>
      <w:spacing w:before="3"/>
      <w:ind w:left="561" w:right="126" w:hanging="431"/>
    </w:pPr>
    <w:rPr>
      <w:rFonts w:ascii="Book Antiqua" w:hAnsi="Book Antiqua" w:cs="Book Antiqua"/>
      <w:kern w:val="0"/>
      <w:sz w:val="24"/>
      <w:szCs w:val="24"/>
    </w:rPr>
  </w:style>
  <w:style w:type="paragraph" w:styleId="af3">
    <w:name w:val="Balloon Text"/>
    <w:basedOn w:val="a"/>
    <w:link w:val="af4"/>
    <w:uiPriority w:val="99"/>
    <w:semiHidden/>
    <w:unhideWhenUsed/>
    <w:rsid w:val="00400A62"/>
    <w:rPr>
      <w:sz w:val="18"/>
      <w:szCs w:val="18"/>
    </w:rPr>
  </w:style>
  <w:style w:type="character" w:customStyle="1" w:styleId="af4">
    <w:name w:val="批注框文本 字符"/>
    <w:basedOn w:val="a0"/>
    <w:link w:val="af3"/>
    <w:uiPriority w:val="99"/>
    <w:semiHidden/>
    <w:rsid w:val="00400A62"/>
    <w:rPr>
      <w:rFonts w:ascii="Times New Roman" w:eastAsia="Times New Roman" w:hAnsi="Times New Roman" w:cs="Times New Roman"/>
      <w:kern w:val="2"/>
      <w:sz w:val="18"/>
      <w:szCs w:val="18"/>
      <w:lang w:val="en-US" w:eastAsia="zh-CN"/>
    </w:rPr>
  </w:style>
  <w:style w:type="paragraph" w:styleId="af5">
    <w:name w:val="Normal (Web)"/>
    <w:basedOn w:val="a"/>
    <w:uiPriority w:val="99"/>
    <w:unhideWhenUsed/>
    <w:rsid w:val="00400A62"/>
    <w:pPr>
      <w:spacing w:before="100" w:beforeAutospacing="1" w:after="100" w:afterAutospacing="1"/>
    </w:pPr>
    <w:rPr>
      <w:lang w:eastAsia="en-US"/>
    </w:rPr>
  </w:style>
  <w:style w:type="paragraph" w:styleId="af6">
    <w:name w:val="caption"/>
    <w:basedOn w:val="a"/>
    <w:next w:val="a"/>
    <w:autoRedefine/>
    <w:uiPriority w:val="35"/>
    <w:unhideWhenUsed/>
    <w:qFormat/>
    <w:rsid w:val="00400A62"/>
    <w:pPr>
      <w:ind w:firstLineChars="0" w:firstLine="0"/>
    </w:pPr>
  </w:style>
  <w:style w:type="paragraph" w:customStyle="1" w:styleId="af7">
    <w:name w:val="通讯作者"/>
    <w:basedOn w:val="a"/>
    <w:autoRedefine/>
    <w:qFormat/>
    <w:rsid w:val="00400A62"/>
    <w:pPr>
      <w:ind w:firstLineChars="0" w:firstLine="0"/>
    </w:pPr>
  </w:style>
  <w:style w:type="paragraph" w:customStyle="1" w:styleId="af8">
    <w:name w:val="图注"/>
    <w:basedOn w:val="a"/>
    <w:autoRedefine/>
    <w:qFormat/>
    <w:rsid w:val="00400A62"/>
    <w:pPr>
      <w:ind w:firstLineChars="0" w:firstLine="0"/>
    </w:pPr>
  </w:style>
  <w:style w:type="table" w:customStyle="1" w:styleId="5-11">
    <w:name w:val="网格表 5 深色 - 着色 11"/>
    <w:basedOn w:val="a1"/>
    <w:uiPriority w:val="50"/>
    <w:qFormat/>
    <w:rsid w:val="00400A62"/>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400A62"/>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400A62"/>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af9">
    <w:name w:val="Table Grid"/>
    <w:basedOn w:val="a1"/>
    <w:uiPriority w:val="59"/>
    <w:qFormat/>
    <w:rsid w:val="00400A62"/>
    <w:rPr>
      <w:rFonts w:ascii="等线" w:eastAsia="等线" w:hAnsi="等线"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文章标题"/>
    <w:basedOn w:val="a"/>
    <w:link w:val="afb"/>
    <w:autoRedefine/>
    <w:qFormat/>
    <w:rsid w:val="00400A62"/>
    <w:pPr>
      <w:kinsoku w:val="0"/>
      <w:overflowPunct w:val="0"/>
      <w:autoSpaceDE w:val="0"/>
      <w:autoSpaceDN w:val="0"/>
      <w:adjustRightInd w:val="0"/>
      <w:ind w:firstLineChars="0" w:firstLine="0"/>
    </w:pPr>
    <w:rPr>
      <w:rFonts w:cstheme="minorBidi"/>
      <w:b/>
      <w:bCs/>
      <w:spacing w:val="-8"/>
      <w:sz w:val="36"/>
      <w:szCs w:val="36"/>
    </w:rPr>
  </w:style>
  <w:style w:type="character" w:customStyle="1" w:styleId="afb">
    <w:name w:val="文章标题 字符"/>
    <w:link w:val="afa"/>
    <w:rsid w:val="00400A62"/>
    <w:rPr>
      <w:rFonts w:ascii="Times New Roman" w:eastAsia="Times New Roman" w:hAnsi="Times New Roman"/>
      <w:b/>
      <w:bCs/>
      <w:spacing w:val="-8"/>
      <w:kern w:val="2"/>
      <w:sz w:val="36"/>
      <w:szCs w:val="36"/>
      <w:lang w:val="en-US" w:eastAsia="zh-CN"/>
    </w:rPr>
  </w:style>
  <w:style w:type="paragraph" w:customStyle="1" w:styleId="afc">
    <w:name w:val="文章内容"/>
    <w:basedOn w:val="a"/>
    <w:link w:val="afd"/>
    <w:autoRedefine/>
    <w:rsid w:val="00400A62"/>
    <w:pPr>
      <w:ind w:firstLine="420"/>
    </w:pPr>
    <w:rPr>
      <w:color w:val="000000"/>
    </w:rPr>
  </w:style>
  <w:style w:type="character" w:customStyle="1" w:styleId="afd">
    <w:name w:val="文章内容 字符"/>
    <w:link w:val="afc"/>
    <w:rsid w:val="00400A62"/>
    <w:rPr>
      <w:rFonts w:ascii="Times New Roman" w:eastAsia="Times New Roman" w:hAnsi="Times New Roman" w:cs="Times New Roman"/>
      <w:color w:val="000000"/>
      <w:kern w:val="2"/>
      <w:sz w:val="21"/>
      <w:szCs w:val="21"/>
      <w:lang w:val="en-US" w:eastAsia="zh-CN"/>
    </w:rPr>
  </w:style>
  <w:style w:type="numbering" w:customStyle="1" w:styleId="11">
    <w:name w:val="无列表1"/>
    <w:next w:val="a2"/>
    <w:uiPriority w:val="99"/>
    <w:semiHidden/>
    <w:unhideWhenUsed/>
    <w:rsid w:val="00400A62"/>
  </w:style>
  <w:style w:type="paragraph" w:styleId="afe">
    <w:name w:val="footer"/>
    <w:basedOn w:val="a"/>
    <w:link w:val="aff"/>
    <w:uiPriority w:val="99"/>
    <w:unhideWhenUsed/>
    <w:rsid w:val="00400A62"/>
    <w:pPr>
      <w:tabs>
        <w:tab w:val="center" w:pos="4153"/>
        <w:tab w:val="right" w:pos="8306"/>
      </w:tabs>
      <w:snapToGrid w:val="0"/>
      <w:jc w:val="left"/>
    </w:pPr>
    <w:rPr>
      <w:sz w:val="18"/>
      <w:szCs w:val="18"/>
    </w:rPr>
  </w:style>
  <w:style w:type="character" w:customStyle="1" w:styleId="aff">
    <w:name w:val="页脚 字符"/>
    <w:link w:val="afe"/>
    <w:uiPriority w:val="99"/>
    <w:rsid w:val="00400A62"/>
    <w:rPr>
      <w:rFonts w:ascii="Times New Roman" w:eastAsia="Times New Roman" w:hAnsi="Times New Roman" w:cs="Times New Roman"/>
      <w:kern w:val="2"/>
      <w:sz w:val="18"/>
      <w:szCs w:val="18"/>
      <w:lang w:val="en-US" w:eastAsia="zh-CN"/>
    </w:rPr>
  </w:style>
  <w:style w:type="paragraph" w:styleId="aff0">
    <w:name w:val="header"/>
    <w:basedOn w:val="a"/>
    <w:link w:val="aff1"/>
    <w:uiPriority w:val="99"/>
    <w:unhideWhenUsed/>
    <w:rsid w:val="00400A62"/>
    <w:pPr>
      <w:pBdr>
        <w:bottom w:val="single" w:sz="6" w:space="1" w:color="auto"/>
      </w:pBdr>
      <w:tabs>
        <w:tab w:val="center" w:pos="4153"/>
        <w:tab w:val="right" w:pos="8306"/>
      </w:tabs>
      <w:snapToGrid w:val="0"/>
      <w:jc w:val="center"/>
    </w:pPr>
    <w:rPr>
      <w:sz w:val="18"/>
      <w:szCs w:val="18"/>
    </w:rPr>
  </w:style>
  <w:style w:type="character" w:customStyle="1" w:styleId="aff1">
    <w:name w:val="页眉 字符"/>
    <w:link w:val="aff0"/>
    <w:uiPriority w:val="99"/>
    <w:rsid w:val="00400A62"/>
    <w:rPr>
      <w:rFonts w:ascii="Times New Roman" w:eastAsia="Times New Roman" w:hAnsi="Times New Roman" w:cs="Times New Roman"/>
      <w:kern w:val="2"/>
      <w:sz w:val="18"/>
      <w:szCs w:val="18"/>
      <w:lang w:val="en-US" w:eastAsia="zh-CN"/>
    </w:rPr>
  </w:style>
  <w:style w:type="paragraph" w:customStyle="1" w:styleId="aff2">
    <w:name w:val="摘要"/>
    <w:basedOn w:val="Abstract"/>
    <w:autoRedefine/>
    <w:qFormat/>
    <w:rsid w:val="00400A62"/>
    <w:rPr>
      <w:b w:val="0"/>
      <w:sz w:val="21"/>
      <w:szCs w:val="21"/>
    </w:rPr>
  </w:style>
  <w:style w:type="character" w:styleId="aff3">
    <w:name w:val="Placeholder Text"/>
    <w:uiPriority w:val="99"/>
    <w:semiHidden/>
    <w:rsid w:val="00400A62"/>
    <w:rPr>
      <w:color w:val="808080"/>
    </w:rPr>
  </w:style>
  <w:style w:type="paragraph" w:customStyle="1" w:styleId="aff4">
    <w:name w:val="作者信息"/>
    <w:basedOn w:val="a"/>
    <w:autoRedefine/>
    <w:qFormat/>
    <w:rsid w:val="00400A62"/>
    <w:pPr>
      <w:ind w:firstLineChars="0" w:firstLine="0"/>
    </w:pPr>
    <w:rPr>
      <w:rFonts w:cstheme="minorBidi"/>
    </w:rPr>
  </w:style>
  <w:style w:type="character" w:styleId="aff5">
    <w:name w:val="annotation reference"/>
    <w:basedOn w:val="a0"/>
    <w:uiPriority w:val="99"/>
    <w:unhideWhenUsed/>
    <w:qFormat/>
    <w:rsid w:val="00AE04C1"/>
    <w:rPr>
      <w:sz w:val="21"/>
      <w:szCs w:val="21"/>
    </w:rPr>
  </w:style>
  <w:style w:type="paragraph" w:styleId="aff6">
    <w:name w:val="annotation text"/>
    <w:basedOn w:val="a"/>
    <w:link w:val="aff7"/>
    <w:uiPriority w:val="99"/>
    <w:unhideWhenUsed/>
    <w:qFormat/>
    <w:rsid w:val="00AE04C1"/>
    <w:pPr>
      <w:jc w:val="left"/>
    </w:pPr>
  </w:style>
  <w:style w:type="character" w:customStyle="1" w:styleId="aff7">
    <w:name w:val="批注文字 字符"/>
    <w:basedOn w:val="a0"/>
    <w:link w:val="aff6"/>
    <w:uiPriority w:val="99"/>
    <w:qFormat/>
    <w:rsid w:val="00AE04C1"/>
    <w:rPr>
      <w:rFonts w:ascii="Times New Roman" w:eastAsia="Times New Roman" w:hAnsi="Times New Roman" w:cs="Times New Roman"/>
      <w:kern w:val="2"/>
      <w:sz w:val="21"/>
      <w:szCs w:val="21"/>
      <w:lang w:val="en-US" w:eastAsia="zh-CN"/>
    </w:rPr>
  </w:style>
  <w:style w:type="paragraph" w:styleId="aff8">
    <w:name w:val="annotation subject"/>
    <w:basedOn w:val="aff6"/>
    <w:next w:val="aff6"/>
    <w:link w:val="aff9"/>
    <w:uiPriority w:val="99"/>
    <w:semiHidden/>
    <w:unhideWhenUsed/>
    <w:rsid w:val="00AE04C1"/>
    <w:rPr>
      <w:b/>
      <w:bCs/>
    </w:rPr>
  </w:style>
  <w:style w:type="character" w:customStyle="1" w:styleId="aff9">
    <w:name w:val="批注主题 字符"/>
    <w:basedOn w:val="aff7"/>
    <w:link w:val="aff8"/>
    <w:uiPriority w:val="99"/>
    <w:semiHidden/>
    <w:rsid w:val="00AE04C1"/>
    <w:rPr>
      <w:rFonts w:ascii="Times New Roman" w:eastAsia="Times New Roman" w:hAnsi="Times New Roman" w:cs="Times New Roman"/>
      <w:b/>
      <w:bCs/>
      <w:kern w:val="2"/>
      <w:sz w:val="21"/>
      <w:szCs w:val="21"/>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965544">
      <w:bodyDiv w:val="1"/>
      <w:marLeft w:val="0"/>
      <w:marRight w:val="0"/>
      <w:marTop w:val="0"/>
      <w:marBottom w:val="0"/>
      <w:divBdr>
        <w:top w:val="none" w:sz="0" w:space="0" w:color="auto"/>
        <w:left w:val="none" w:sz="0" w:space="0" w:color="auto"/>
        <w:bottom w:val="none" w:sz="0" w:space="0" w:color="auto"/>
        <w:right w:val="none" w:sz="0" w:space="0" w:color="auto"/>
      </w:divBdr>
    </w:div>
    <w:div w:id="340545701">
      <w:bodyDiv w:val="1"/>
      <w:marLeft w:val="0"/>
      <w:marRight w:val="0"/>
      <w:marTop w:val="0"/>
      <w:marBottom w:val="0"/>
      <w:divBdr>
        <w:top w:val="none" w:sz="0" w:space="0" w:color="auto"/>
        <w:left w:val="none" w:sz="0" w:space="0" w:color="auto"/>
        <w:bottom w:val="none" w:sz="0" w:space="0" w:color="auto"/>
        <w:right w:val="none" w:sz="0" w:space="0" w:color="auto"/>
      </w:divBdr>
    </w:div>
    <w:div w:id="596252691">
      <w:bodyDiv w:val="1"/>
      <w:marLeft w:val="0"/>
      <w:marRight w:val="0"/>
      <w:marTop w:val="0"/>
      <w:marBottom w:val="0"/>
      <w:divBdr>
        <w:top w:val="none" w:sz="0" w:space="0" w:color="auto"/>
        <w:left w:val="none" w:sz="0" w:space="0" w:color="auto"/>
        <w:bottom w:val="none" w:sz="0" w:space="0" w:color="auto"/>
        <w:right w:val="none" w:sz="0" w:space="0" w:color="auto"/>
      </w:divBdr>
    </w:div>
    <w:div w:id="103221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594</Words>
  <Characters>3387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kn.ipc0325@gmail.com</dc:creator>
  <cp:keywords/>
  <dc:description/>
  <cp:lastModifiedBy>Susie</cp:lastModifiedBy>
  <cp:revision>3</cp:revision>
  <dcterms:created xsi:type="dcterms:W3CDTF">2022-03-24T01:33:00Z</dcterms:created>
  <dcterms:modified xsi:type="dcterms:W3CDTF">2022-03-24T01:34:00Z</dcterms:modified>
</cp:coreProperties>
</file>